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DAB78" w14:textId="1F67FED5" w:rsidR="003A2C6D" w:rsidRDefault="003A2C6D" w:rsidP="00B968AB">
      <w:pPr>
        <w:pStyle w:val="Title"/>
        <w:spacing w:line="204" w:lineRule="auto"/>
        <w:ind w:left="3600" w:firstLine="720"/>
        <w:rPr>
          <w:color w:val="113658"/>
          <w:sz w:val="52"/>
          <w:szCs w:val="52"/>
        </w:rPr>
      </w:pPr>
      <w:r w:rsidRPr="00172736">
        <w:rPr>
          <w:noProof/>
          <w:color w:val="113658"/>
        </w:rPr>
        <w:drawing>
          <wp:anchor distT="0" distB="0" distL="114300" distR="114300" simplePos="0" relativeHeight="251659264" behindDoc="0" locked="0" layoutInCell="1" allowOverlap="1" wp14:anchorId="3589A240" wp14:editId="2F30FE50">
            <wp:simplePos x="0" y="0"/>
            <wp:positionH relativeFrom="margin">
              <wp:align>left</wp:align>
            </wp:positionH>
            <wp:positionV relativeFrom="paragraph">
              <wp:posOffset>104140</wp:posOffset>
            </wp:positionV>
            <wp:extent cx="2286000" cy="729615"/>
            <wp:effectExtent l="0" t="0" r="0" b="0"/>
            <wp:wrapSquare wrapText="bothSides"/>
            <wp:docPr id="144682493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72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68AB">
        <w:rPr>
          <w:color w:val="113658"/>
          <w:sz w:val="52"/>
          <w:szCs w:val="52"/>
        </w:rPr>
        <w:t xml:space="preserve">            </w:t>
      </w:r>
      <w:r w:rsidR="00FD4248" w:rsidRPr="00F902B0">
        <w:rPr>
          <w:color w:val="113658"/>
          <w:sz w:val="52"/>
          <w:szCs w:val="52"/>
        </w:rPr>
        <w:t xml:space="preserve">Bank Deposit </w:t>
      </w:r>
    </w:p>
    <w:p w14:paraId="44ED2FD9" w14:textId="135CF0EF" w:rsidR="00B968AB" w:rsidRDefault="00B968AB" w:rsidP="003A2C6D">
      <w:pPr>
        <w:pStyle w:val="Title"/>
        <w:spacing w:line="204" w:lineRule="auto"/>
        <w:ind w:left="1440" w:firstLine="720"/>
        <w:rPr>
          <w:color w:val="113658"/>
          <w:sz w:val="52"/>
          <w:szCs w:val="52"/>
        </w:rPr>
      </w:pPr>
      <w:r>
        <w:rPr>
          <w:color w:val="113658"/>
          <w:sz w:val="52"/>
          <w:szCs w:val="52"/>
        </w:rPr>
        <w:t xml:space="preserve">            </w:t>
      </w:r>
      <w:r w:rsidR="00FD4248" w:rsidRPr="00F902B0">
        <w:rPr>
          <w:color w:val="113658"/>
          <w:sz w:val="52"/>
          <w:szCs w:val="52"/>
        </w:rPr>
        <w:t>Sweep</w:t>
      </w:r>
      <w:r w:rsidR="003A2C6D">
        <w:rPr>
          <w:color w:val="113658"/>
          <w:sz w:val="52"/>
          <w:szCs w:val="52"/>
        </w:rPr>
        <w:t xml:space="preserve"> </w:t>
      </w:r>
      <w:r w:rsidR="00FD4248" w:rsidRPr="00F902B0">
        <w:rPr>
          <w:color w:val="113658"/>
          <w:sz w:val="52"/>
          <w:szCs w:val="52"/>
        </w:rPr>
        <w:t>Progra</w:t>
      </w:r>
      <w:r w:rsidR="00211B2F" w:rsidRPr="00F902B0">
        <w:rPr>
          <w:color w:val="113658"/>
          <w:sz w:val="52"/>
          <w:szCs w:val="52"/>
        </w:rPr>
        <w:t>m</w:t>
      </w:r>
    </w:p>
    <w:p w14:paraId="1C96F9E3" w14:textId="4A2D1318" w:rsidR="00411B9C" w:rsidRPr="00F902B0" w:rsidRDefault="00B968AB" w:rsidP="003A2C6D">
      <w:pPr>
        <w:pStyle w:val="Title"/>
        <w:spacing w:line="204" w:lineRule="auto"/>
        <w:ind w:left="1440" w:firstLine="720"/>
        <w:rPr>
          <w:color w:val="113658"/>
          <w:sz w:val="52"/>
          <w:szCs w:val="52"/>
        </w:rPr>
      </w:pPr>
      <w:r>
        <w:rPr>
          <w:color w:val="113658"/>
          <w:sz w:val="52"/>
          <w:szCs w:val="52"/>
        </w:rPr>
        <w:t xml:space="preserve">                               </w:t>
      </w:r>
      <w:r w:rsidR="00964F6D">
        <w:rPr>
          <w:color w:val="113658"/>
          <w:sz w:val="52"/>
          <w:szCs w:val="52"/>
        </w:rPr>
        <w:t xml:space="preserve"> </w:t>
      </w:r>
      <w:r w:rsidR="00FD4248" w:rsidRPr="00F902B0">
        <w:rPr>
          <w:color w:val="113658"/>
          <w:spacing w:val="-2"/>
          <w:sz w:val="52"/>
          <w:szCs w:val="52"/>
        </w:rPr>
        <w:t>(BDSP)</w:t>
      </w:r>
    </w:p>
    <w:p w14:paraId="66FD4A03" w14:textId="77777777" w:rsidR="00411B9C" w:rsidRDefault="00411B9C">
      <w:pPr>
        <w:pStyle w:val="BodyText"/>
        <w:rPr>
          <w:sz w:val="20"/>
        </w:rPr>
      </w:pPr>
    </w:p>
    <w:p w14:paraId="7A87F2FA" w14:textId="0349EB03" w:rsidR="00411B9C" w:rsidRDefault="00FD4248" w:rsidP="00FA61D5">
      <w:pPr>
        <w:spacing w:before="91" w:line="244" w:lineRule="auto"/>
        <w:ind w:right="1073"/>
        <w:rPr>
          <w:color w:val="231F20"/>
          <w:sz w:val="20"/>
          <w:szCs w:val="20"/>
        </w:rPr>
      </w:pPr>
      <w:r w:rsidRPr="00B53917">
        <w:rPr>
          <w:color w:val="231F20"/>
          <w:sz w:val="20"/>
          <w:szCs w:val="20"/>
        </w:rPr>
        <w:t>As referenced in the Disclosure Document, we earn a fee on BDSP equal to a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percentage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of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the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average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daily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deposit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balance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within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that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program.</w:t>
      </w:r>
      <w:r w:rsidRPr="00B53917">
        <w:rPr>
          <w:color w:val="231F20"/>
          <w:spacing w:val="-14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 xml:space="preserve">This BDSP fee will in almost all circumstances be substantially greater than the amount of interest customers </w:t>
      </w:r>
      <w:proofErr w:type="gramStart"/>
      <w:r w:rsidRPr="00B53917">
        <w:rPr>
          <w:color w:val="231F20"/>
          <w:sz w:val="20"/>
          <w:szCs w:val="20"/>
        </w:rPr>
        <w:t>earn</w:t>
      </w:r>
      <w:proofErr w:type="gramEnd"/>
      <w:r w:rsidRPr="00B53917">
        <w:rPr>
          <w:color w:val="231F20"/>
          <w:sz w:val="20"/>
          <w:szCs w:val="20"/>
        </w:rPr>
        <w:t xml:space="preserve"> from the same balances. As such, we</w:t>
      </w:r>
      <w:r w:rsidR="00FA61D5" w:rsidRPr="00B53917">
        <w:rPr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receive</w:t>
      </w:r>
      <w:r w:rsidRPr="00B53917">
        <w:rPr>
          <w:color w:val="231F20"/>
          <w:spacing w:val="-17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a</w:t>
      </w:r>
      <w:r w:rsidRPr="00B53917">
        <w:rPr>
          <w:color w:val="231F20"/>
          <w:spacing w:val="-16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substantially</w:t>
      </w:r>
      <w:r w:rsidRPr="00B53917">
        <w:rPr>
          <w:color w:val="231F20"/>
          <w:spacing w:val="-17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higher</w:t>
      </w:r>
      <w:r w:rsidRPr="00B53917">
        <w:rPr>
          <w:color w:val="231F20"/>
          <w:spacing w:val="-16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percentage</w:t>
      </w:r>
      <w:r w:rsidRPr="00B53917">
        <w:rPr>
          <w:color w:val="231F20"/>
          <w:spacing w:val="-17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of</w:t>
      </w:r>
      <w:r w:rsidRPr="00B53917">
        <w:rPr>
          <w:color w:val="231F20"/>
          <w:spacing w:val="-16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the</w:t>
      </w:r>
      <w:r w:rsidRPr="00B53917">
        <w:rPr>
          <w:color w:val="231F20"/>
          <w:spacing w:val="-17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interest</w:t>
      </w:r>
      <w:r w:rsidRPr="00B53917">
        <w:rPr>
          <w:color w:val="231F20"/>
          <w:spacing w:val="-16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generated</w:t>
      </w:r>
      <w:r w:rsidRPr="00B53917">
        <w:rPr>
          <w:color w:val="231F20"/>
          <w:spacing w:val="-17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by</w:t>
      </w:r>
      <w:r w:rsidRPr="00B53917">
        <w:rPr>
          <w:color w:val="231F20"/>
          <w:spacing w:val="-16"/>
          <w:sz w:val="20"/>
          <w:szCs w:val="20"/>
        </w:rPr>
        <w:t xml:space="preserve"> </w:t>
      </w:r>
      <w:r w:rsidRPr="00B53917">
        <w:rPr>
          <w:color w:val="231F20"/>
          <w:sz w:val="20"/>
          <w:szCs w:val="20"/>
        </w:rPr>
        <w:t>deposit balances in the BDSP than the interest credited to our customers’ accounts.</w:t>
      </w:r>
    </w:p>
    <w:p w14:paraId="56B7726A" w14:textId="4BCA8026" w:rsidR="00B352C0" w:rsidRPr="00B53917" w:rsidRDefault="00B352C0" w:rsidP="00FA61D5">
      <w:pPr>
        <w:spacing w:before="91" w:line="244" w:lineRule="auto"/>
        <w:ind w:right="1073"/>
        <w:rPr>
          <w:sz w:val="20"/>
          <w:szCs w:val="20"/>
        </w:rPr>
      </w:pPr>
      <w:r>
        <w:rPr>
          <w:color w:val="231F20"/>
          <w:sz w:val="20"/>
          <w:szCs w:val="20"/>
        </w:rPr>
        <w:t xml:space="preserve">The table below represents the BDSP fee received by us for the quarter and year stated. We will update this table on a </w:t>
      </w:r>
      <w:r w:rsidRPr="00B53917">
        <w:rPr>
          <w:color w:val="231F20"/>
          <w:sz w:val="20"/>
          <w:szCs w:val="20"/>
        </w:rPr>
        <w:t xml:space="preserve">quarterly basis </w:t>
      </w:r>
      <w:proofErr w:type="gramStart"/>
      <w:r w:rsidRPr="00B53917">
        <w:rPr>
          <w:color w:val="231F20"/>
          <w:sz w:val="20"/>
          <w:szCs w:val="20"/>
        </w:rPr>
        <w:t>in order to</w:t>
      </w:r>
      <w:proofErr w:type="gramEnd"/>
      <w:r w:rsidRPr="00B53917">
        <w:rPr>
          <w:color w:val="231F20"/>
          <w:sz w:val="20"/>
          <w:szCs w:val="20"/>
        </w:rPr>
        <w:t xml:space="preserve"> provide you with information related to the fees</w:t>
      </w:r>
      <w:r>
        <w:rPr>
          <w:color w:val="231F20"/>
          <w:sz w:val="20"/>
          <w:szCs w:val="20"/>
        </w:rPr>
        <w:t xml:space="preserve"> </w:t>
      </w:r>
      <w:r w:rsidR="0064515D">
        <w:rPr>
          <w:color w:val="231F20"/>
          <w:sz w:val="20"/>
          <w:szCs w:val="20"/>
        </w:rPr>
        <w:t>we have historically collected w</w:t>
      </w:r>
      <w:r w:rsidR="00964F6D">
        <w:rPr>
          <w:color w:val="231F20"/>
          <w:sz w:val="20"/>
          <w:szCs w:val="20"/>
        </w:rPr>
        <w:t>ith respect to BDSP.</w:t>
      </w:r>
    </w:p>
    <w:p w14:paraId="311BBC3B" w14:textId="4B1EAF5F" w:rsidR="00411B9C" w:rsidRPr="00B53917" w:rsidRDefault="00411B9C" w:rsidP="00FA61D5">
      <w:pPr>
        <w:spacing w:line="228" w:lineRule="auto"/>
        <w:ind w:right="2383"/>
        <w:rPr>
          <w:sz w:val="20"/>
          <w:szCs w:val="20"/>
        </w:rPr>
      </w:pPr>
    </w:p>
    <w:p w14:paraId="1010F9C1" w14:textId="77777777" w:rsidR="00411B9C" w:rsidRDefault="00411B9C">
      <w:pPr>
        <w:pStyle w:val="BodyText"/>
        <w:spacing w:before="5"/>
        <w:rPr>
          <w:sz w:val="12"/>
        </w:rPr>
      </w:pPr>
    </w:p>
    <w:tbl>
      <w:tblPr>
        <w:tblW w:w="9225" w:type="dxa"/>
        <w:jc w:val="center"/>
        <w:tblLook w:val="04A0" w:firstRow="1" w:lastRow="0" w:firstColumn="1" w:lastColumn="0" w:noHBand="0" w:noVBand="1"/>
      </w:tblPr>
      <w:tblGrid>
        <w:gridCol w:w="2712"/>
        <w:gridCol w:w="3270"/>
        <w:gridCol w:w="3243"/>
      </w:tblGrid>
      <w:tr w:rsidR="00A3016F" w:rsidRPr="00615B98" w14:paraId="47B43497" w14:textId="77777777" w:rsidTr="00B352C0">
        <w:trPr>
          <w:trHeight w:val="369"/>
          <w:jc w:val="center"/>
        </w:trPr>
        <w:tc>
          <w:tcPr>
            <w:tcW w:w="2712" w:type="dxa"/>
            <w:tcBorders>
              <w:top w:val="single" w:sz="4" w:space="0" w:color="D1D3D4"/>
              <w:left w:val="single" w:sz="4" w:space="0" w:color="D1D3D4"/>
              <w:bottom w:val="single" w:sz="8" w:space="0" w:color="D1D3D4"/>
              <w:right w:val="nil"/>
            </w:tcBorders>
            <w:shd w:val="clear" w:color="auto" w:fill="113658"/>
            <w:vAlign w:val="center"/>
            <w:hideMark/>
          </w:tcPr>
          <w:p w14:paraId="2225E42C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 w:rsidRPr="009A4674">
              <w:rPr>
                <w:rFonts w:eastAsia="Times New Roman" w:cs="Calibri"/>
                <w:b/>
                <w:bCs/>
                <w:color w:val="FFFFFF"/>
                <w:spacing w:val="-4"/>
                <w:sz w:val="20"/>
                <w:szCs w:val="20"/>
              </w:rPr>
              <w:t>Year</w:t>
            </w: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shd w:val="clear" w:color="auto" w:fill="113658"/>
            <w:vAlign w:val="center"/>
            <w:hideMark/>
          </w:tcPr>
          <w:p w14:paraId="22AF2BC0" w14:textId="63EB0D81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 w:rsidRPr="009A4674"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Qu</w:t>
            </w:r>
            <w:r w:rsidR="006579F9" w:rsidRPr="009A4674"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  <w:t>arter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shd w:val="clear" w:color="auto" w:fill="113658"/>
            <w:vAlign w:val="center"/>
            <w:hideMark/>
          </w:tcPr>
          <w:p w14:paraId="352E2E55" w14:textId="7FC097EA" w:rsidR="00A3016F" w:rsidRPr="009A4674" w:rsidRDefault="006579F9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b/>
                <w:bCs/>
                <w:color w:val="FFFFFF"/>
                <w:sz w:val="20"/>
                <w:szCs w:val="20"/>
              </w:rPr>
            </w:pPr>
            <w:r w:rsidRPr="009A4674">
              <w:rPr>
                <w:rFonts w:eastAsia="Times New Roman" w:cs="Calibri"/>
                <w:b/>
                <w:bCs/>
                <w:color w:val="FFFFFF" w:themeColor="background1"/>
                <w:spacing w:val="-2"/>
                <w:sz w:val="20"/>
                <w:szCs w:val="20"/>
              </w:rPr>
              <w:t>BDSP Fee*</w:t>
            </w:r>
          </w:p>
        </w:tc>
      </w:tr>
      <w:tr w:rsidR="001242E2" w:rsidRPr="00615B98" w14:paraId="1459BD99" w14:textId="77777777" w:rsidTr="001242E2">
        <w:trPr>
          <w:trHeight w:val="369"/>
          <w:jc w:val="center"/>
        </w:trPr>
        <w:tc>
          <w:tcPr>
            <w:tcW w:w="2712" w:type="dxa"/>
            <w:tcBorders>
              <w:top w:val="single" w:sz="4" w:space="0" w:color="D1D3D4"/>
              <w:left w:val="single" w:sz="4" w:space="0" w:color="D1D3D4"/>
              <w:bottom w:val="single" w:sz="8" w:space="0" w:color="D1D3D4"/>
              <w:right w:val="nil"/>
            </w:tcBorders>
            <w:vAlign w:val="center"/>
          </w:tcPr>
          <w:p w14:paraId="0E3FCC49" w14:textId="39506111" w:rsidR="001242E2" w:rsidRPr="009A4674" w:rsidRDefault="001242E2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pacing w:val="-4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4"/>
                <w:sz w:val="20"/>
                <w:szCs w:val="20"/>
              </w:rPr>
              <w:t>2026</w:t>
            </w: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408CCBFC" w14:textId="6DD37585" w:rsidR="001242E2" w:rsidRPr="009A4674" w:rsidRDefault="001242E2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Q1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747A569D" w14:textId="69FBAC69" w:rsidR="001242E2" w:rsidRPr="009A4674" w:rsidRDefault="001242E2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3.32%</w:t>
            </w:r>
          </w:p>
        </w:tc>
      </w:tr>
      <w:tr w:rsidR="00E83016" w:rsidRPr="00615B98" w14:paraId="62FC8D0E" w14:textId="77777777" w:rsidTr="00E83016">
        <w:trPr>
          <w:trHeight w:val="369"/>
          <w:jc w:val="center"/>
        </w:trPr>
        <w:tc>
          <w:tcPr>
            <w:tcW w:w="2712" w:type="dxa"/>
            <w:vMerge w:val="restart"/>
            <w:tcBorders>
              <w:top w:val="single" w:sz="4" w:space="0" w:color="D1D3D4"/>
              <w:left w:val="single" w:sz="4" w:space="0" w:color="D1D3D4"/>
              <w:right w:val="nil"/>
            </w:tcBorders>
            <w:vAlign w:val="center"/>
          </w:tcPr>
          <w:p w14:paraId="7B1B9F05" w14:textId="4EF40184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pacing w:val="-4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4"/>
                <w:sz w:val="20"/>
                <w:szCs w:val="20"/>
              </w:rPr>
              <w:t>2025</w:t>
            </w: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6DB07D52" w14:textId="6FFCB691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9A4674">
              <w:rPr>
                <w:rFonts w:eastAsia="Times New Roman" w:cs="Calibri"/>
                <w:color w:val="000000" w:themeColor="text1"/>
                <w:sz w:val="20"/>
                <w:szCs w:val="20"/>
              </w:rPr>
              <w:t>Q4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26C4B265" w14:textId="0F2AB31C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 w:themeColor="text1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color w:val="000000" w:themeColor="text1"/>
                <w:spacing w:val="-2"/>
                <w:sz w:val="20"/>
                <w:szCs w:val="20"/>
              </w:rPr>
              <w:t>3.47%</w:t>
            </w:r>
          </w:p>
        </w:tc>
      </w:tr>
      <w:tr w:rsidR="00E83016" w:rsidRPr="00615B98" w14:paraId="6740D7AB" w14:textId="77777777" w:rsidTr="00E83016">
        <w:trPr>
          <w:trHeight w:val="369"/>
          <w:jc w:val="center"/>
        </w:trPr>
        <w:tc>
          <w:tcPr>
            <w:tcW w:w="2712" w:type="dxa"/>
            <w:vMerge/>
            <w:tcBorders>
              <w:left w:val="single" w:sz="4" w:space="0" w:color="D1D3D4"/>
              <w:right w:val="nil"/>
            </w:tcBorders>
            <w:vAlign w:val="center"/>
          </w:tcPr>
          <w:p w14:paraId="0BD9AB4E" w14:textId="2FC34DD3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pacing w:val="-4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388D8609" w14:textId="74D50BB2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9A4674">
              <w:rPr>
                <w:rFonts w:eastAsia="Times New Roman" w:cs="Calibri"/>
                <w:color w:val="000000" w:themeColor="text1"/>
                <w:sz w:val="20"/>
                <w:szCs w:val="20"/>
              </w:rPr>
              <w:t>Q3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285BDD2D" w14:textId="5ABF63FC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 w:themeColor="text1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color w:val="000000" w:themeColor="text1"/>
                <w:spacing w:val="-2"/>
                <w:sz w:val="20"/>
                <w:szCs w:val="20"/>
              </w:rPr>
              <w:t>3.34%</w:t>
            </w:r>
          </w:p>
        </w:tc>
      </w:tr>
      <w:tr w:rsidR="00E83016" w:rsidRPr="00615B98" w14:paraId="58A3DB8E" w14:textId="77777777" w:rsidTr="006F2753">
        <w:trPr>
          <w:trHeight w:val="369"/>
          <w:jc w:val="center"/>
        </w:trPr>
        <w:tc>
          <w:tcPr>
            <w:tcW w:w="2712" w:type="dxa"/>
            <w:vMerge/>
            <w:tcBorders>
              <w:left w:val="single" w:sz="4" w:space="0" w:color="D1D3D4"/>
              <w:right w:val="nil"/>
            </w:tcBorders>
            <w:vAlign w:val="center"/>
          </w:tcPr>
          <w:p w14:paraId="61F02B0B" w14:textId="11DA8284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pacing w:val="-4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55B03F47" w14:textId="48993900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9A4674">
              <w:rPr>
                <w:rFonts w:eastAsia="Times New Roman" w:cs="Calibri"/>
                <w:color w:val="000000" w:themeColor="text1"/>
                <w:sz w:val="20"/>
                <w:szCs w:val="20"/>
              </w:rPr>
              <w:t>Q2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6578716A" w14:textId="210D0855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 w:themeColor="text1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color w:val="000000" w:themeColor="text1"/>
                <w:spacing w:val="-2"/>
                <w:sz w:val="20"/>
                <w:szCs w:val="20"/>
              </w:rPr>
              <w:t>3.48%</w:t>
            </w:r>
          </w:p>
        </w:tc>
      </w:tr>
      <w:tr w:rsidR="00E83016" w:rsidRPr="00615B98" w14:paraId="22DF36BC" w14:textId="77777777" w:rsidTr="006C319F">
        <w:trPr>
          <w:trHeight w:val="369"/>
          <w:jc w:val="center"/>
        </w:trPr>
        <w:tc>
          <w:tcPr>
            <w:tcW w:w="2712" w:type="dxa"/>
            <w:vMerge/>
            <w:tcBorders>
              <w:left w:val="single" w:sz="4" w:space="0" w:color="D1D3D4"/>
              <w:bottom w:val="single" w:sz="8" w:space="0" w:color="D1D3D4"/>
              <w:right w:val="nil"/>
            </w:tcBorders>
            <w:vAlign w:val="center"/>
          </w:tcPr>
          <w:p w14:paraId="2B163491" w14:textId="4CAF75A3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pacing w:val="-4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0DEB577A" w14:textId="021A6C1F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Q1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18878AA9" w14:textId="15CC51C8" w:rsidR="00E83016" w:rsidRPr="009A4674" w:rsidRDefault="00E83016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3.88%</w:t>
            </w:r>
          </w:p>
        </w:tc>
      </w:tr>
      <w:tr w:rsidR="00B95217" w:rsidRPr="00615B98" w14:paraId="224A8B70" w14:textId="77777777" w:rsidTr="00E40783">
        <w:trPr>
          <w:trHeight w:val="369"/>
          <w:jc w:val="center"/>
        </w:trPr>
        <w:tc>
          <w:tcPr>
            <w:tcW w:w="2712" w:type="dxa"/>
            <w:vMerge w:val="restart"/>
            <w:tcBorders>
              <w:top w:val="single" w:sz="4" w:space="0" w:color="D1D3D4"/>
              <w:left w:val="single" w:sz="4" w:space="0" w:color="D1D3D4"/>
              <w:right w:val="nil"/>
            </w:tcBorders>
            <w:vAlign w:val="center"/>
          </w:tcPr>
          <w:p w14:paraId="6D0CDF84" w14:textId="5F8D598C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pacing w:val="-4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4"/>
                <w:sz w:val="20"/>
                <w:szCs w:val="20"/>
              </w:rPr>
              <w:t>2024</w:t>
            </w: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21E7BBCC" w14:textId="3530298E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Q4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521C49DD" w14:textId="2ABC9614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3.57%</w:t>
            </w:r>
          </w:p>
        </w:tc>
      </w:tr>
      <w:tr w:rsidR="00B95217" w:rsidRPr="00615B98" w14:paraId="13A0DBE1" w14:textId="77777777" w:rsidTr="00E40783">
        <w:trPr>
          <w:trHeight w:val="369"/>
          <w:jc w:val="center"/>
        </w:trPr>
        <w:tc>
          <w:tcPr>
            <w:tcW w:w="2712" w:type="dxa"/>
            <w:vMerge/>
            <w:tcBorders>
              <w:left w:val="single" w:sz="4" w:space="0" w:color="D1D3D4"/>
              <w:right w:val="nil"/>
            </w:tcBorders>
            <w:shd w:val="clear" w:color="auto" w:fill="FFFFFF" w:themeFill="background1"/>
            <w:vAlign w:val="center"/>
          </w:tcPr>
          <w:p w14:paraId="25BF7594" w14:textId="43F3571C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pacing w:val="-4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shd w:val="clear" w:color="auto" w:fill="FFFFFF" w:themeFill="background1"/>
            <w:vAlign w:val="center"/>
          </w:tcPr>
          <w:p w14:paraId="3D0E7952" w14:textId="1A5B4918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 w:themeColor="text1"/>
                <w:sz w:val="20"/>
                <w:szCs w:val="20"/>
              </w:rPr>
            </w:pPr>
            <w:r w:rsidRPr="009A4674">
              <w:rPr>
                <w:rFonts w:eastAsia="Times New Roman" w:cs="Calibri"/>
                <w:color w:val="000000" w:themeColor="text1"/>
                <w:sz w:val="20"/>
                <w:szCs w:val="20"/>
              </w:rPr>
              <w:t>Q3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shd w:val="clear" w:color="auto" w:fill="FFFFFF" w:themeFill="background1"/>
            <w:vAlign w:val="center"/>
          </w:tcPr>
          <w:p w14:paraId="6F510E5C" w14:textId="4512A973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000000" w:themeColor="text1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color w:val="000000" w:themeColor="text1"/>
                <w:spacing w:val="-2"/>
                <w:sz w:val="20"/>
                <w:szCs w:val="20"/>
              </w:rPr>
              <w:t>3.87%</w:t>
            </w:r>
          </w:p>
        </w:tc>
      </w:tr>
      <w:tr w:rsidR="00B95217" w:rsidRPr="00615B98" w14:paraId="710C412B" w14:textId="77777777" w:rsidTr="009E65C3">
        <w:trPr>
          <w:trHeight w:val="369"/>
          <w:jc w:val="center"/>
        </w:trPr>
        <w:tc>
          <w:tcPr>
            <w:tcW w:w="2712" w:type="dxa"/>
            <w:vMerge/>
            <w:tcBorders>
              <w:left w:val="single" w:sz="4" w:space="0" w:color="D1D3D4"/>
              <w:right w:val="single" w:sz="4" w:space="0" w:color="D1D3D4"/>
            </w:tcBorders>
            <w:shd w:val="clear" w:color="auto" w:fill="FFFFFF" w:themeFill="background1"/>
            <w:vAlign w:val="center"/>
          </w:tcPr>
          <w:p w14:paraId="562A5C5E" w14:textId="14C3ADC3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pacing w:val="-4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32266518" w14:textId="1B3294A7" w:rsidR="00B95217" w:rsidRPr="009A4674" w:rsidRDefault="00B95217" w:rsidP="00110987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Q2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06010AE9" w14:textId="3A0AB6E0" w:rsidR="00B95217" w:rsidRPr="009A4674" w:rsidRDefault="00B95217" w:rsidP="00110987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 w:themeColor="background1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4.19%</w:t>
            </w:r>
          </w:p>
        </w:tc>
      </w:tr>
      <w:tr w:rsidR="00B95217" w:rsidRPr="00615B98" w14:paraId="46E38375" w14:textId="77777777" w:rsidTr="009E65C3">
        <w:trPr>
          <w:trHeight w:val="369"/>
          <w:jc w:val="center"/>
        </w:trPr>
        <w:tc>
          <w:tcPr>
            <w:tcW w:w="2712" w:type="dxa"/>
            <w:vMerge/>
            <w:tcBorders>
              <w:left w:val="single" w:sz="4" w:space="0" w:color="D1D3D4"/>
              <w:bottom w:val="single" w:sz="8" w:space="0" w:color="D1D3D4"/>
              <w:right w:val="single" w:sz="4" w:space="0" w:color="D1D3D4"/>
            </w:tcBorders>
            <w:shd w:val="clear" w:color="auto" w:fill="FFFFFF" w:themeFill="background1"/>
            <w:vAlign w:val="center"/>
          </w:tcPr>
          <w:p w14:paraId="62A2491A" w14:textId="4B1B35AA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pacing w:val="-4"/>
                <w:sz w:val="20"/>
                <w:szCs w:val="20"/>
              </w:rPr>
            </w:pPr>
            <w:bookmarkStart w:id="0" w:name="_Hlk174355788"/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06DB6242" w14:textId="02E9D812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pacing w:val="-2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Q1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29554276" w14:textId="13352996" w:rsidR="00B95217" w:rsidRPr="009A4674" w:rsidRDefault="00B95217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color w:val="FFFFFF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4.27%</w:t>
            </w:r>
          </w:p>
        </w:tc>
      </w:tr>
      <w:bookmarkEnd w:id="0"/>
      <w:tr w:rsidR="00A3016F" w:rsidRPr="00615B98" w14:paraId="1216141A" w14:textId="77777777" w:rsidTr="00986DF6">
        <w:trPr>
          <w:trHeight w:val="369"/>
          <w:jc w:val="center"/>
        </w:trPr>
        <w:tc>
          <w:tcPr>
            <w:tcW w:w="2712" w:type="dxa"/>
            <w:vMerge w:val="restart"/>
            <w:tcBorders>
              <w:top w:val="nil"/>
              <w:left w:val="single" w:sz="4" w:space="0" w:color="D1D3D4"/>
              <w:bottom w:val="single" w:sz="8" w:space="0" w:color="D1D3D4"/>
              <w:right w:val="single" w:sz="4" w:space="0" w:color="D1D3D4"/>
            </w:tcBorders>
            <w:vAlign w:val="center"/>
            <w:hideMark/>
          </w:tcPr>
          <w:p w14:paraId="67526A28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4"/>
                <w:sz w:val="20"/>
                <w:szCs w:val="20"/>
              </w:rPr>
              <w:t>2023</w:t>
            </w: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noWrap/>
            <w:vAlign w:val="center"/>
            <w:hideMark/>
          </w:tcPr>
          <w:p w14:paraId="5FBF708C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Q4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noWrap/>
            <w:vAlign w:val="center"/>
            <w:hideMark/>
          </w:tcPr>
          <w:p w14:paraId="4E4D99E7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z w:val="20"/>
                <w:szCs w:val="20"/>
              </w:rPr>
              <w:t>4.08%</w:t>
            </w:r>
          </w:p>
        </w:tc>
      </w:tr>
      <w:tr w:rsidR="00A3016F" w:rsidRPr="00615B98" w14:paraId="764C191C" w14:textId="77777777" w:rsidTr="00986DF6">
        <w:trPr>
          <w:trHeight w:val="369"/>
          <w:jc w:val="center"/>
        </w:trPr>
        <w:tc>
          <w:tcPr>
            <w:tcW w:w="2712" w:type="dxa"/>
            <w:vMerge/>
            <w:tcBorders>
              <w:top w:val="nil"/>
              <w:left w:val="single" w:sz="4" w:space="0" w:color="D1D3D4"/>
              <w:bottom w:val="single" w:sz="8" w:space="0" w:color="D1D3D4"/>
              <w:right w:val="single" w:sz="4" w:space="0" w:color="D1D3D4"/>
            </w:tcBorders>
            <w:vAlign w:val="center"/>
            <w:hideMark/>
          </w:tcPr>
          <w:p w14:paraId="740DF379" w14:textId="77777777" w:rsidR="00A3016F" w:rsidRPr="009A4674" w:rsidRDefault="00A3016F" w:rsidP="00A3016F">
            <w:pPr>
              <w:widowControl/>
              <w:autoSpaceDE/>
              <w:autoSpaceDN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5642547A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5"/>
                <w:sz w:val="20"/>
                <w:szCs w:val="20"/>
              </w:rPr>
              <w:t>Q3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49AFBF56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4.17%</w:t>
            </w:r>
          </w:p>
        </w:tc>
      </w:tr>
      <w:tr w:rsidR="00A3016F" w:rsidRPr="00615B98" w14:paraId="605B1F6A" w14:textId="77777777" w:rsidTr="00986DF6">
        <w:trPr>
          <w:trHeight w:val="369"/>
          <w:jc w:val="center"/>
        </w:trPr>
        <w:tc>
          <w:tcPr>
            <w:tcW w:w="2712" w:type="dxa"/>
            <w:vMerge/>
            <w:tcBorders>
              <w:top w:val="nil"/>
              <w:left w:val="single" w:sz="4" w:space="0" w:color="D1D3D4"/>
              <w:bottom w:val="single" w:sz="8" w:space="0" w:color="D1D3D4"/>
              <w:right w:val="single" w:sz="4" w:space="0" w:color="D1D3D4"/>
            </w:tcBorders>
            <w:vAlign w:val="center"/>
            <w:hideMark/>
          </w:tcPr>
          <w:p w14:paraId="606C4354" w14:textId="77777777" w:rsidR="00A3016F" w:rsidRPr="009A4674" w:rsidRDefault="00A3016F" w:rsidP="00A3016F">
            <w:pPr>
              <w:widowControl/>
              <w:autoSpaceDE/>
              <w:autoSpaceDN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345FC69B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5"/>
                <w:sz w:val="20"/>
                <w:szCs w:val="20"/>
              </w:rPr>
              <w:t>Q2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59530106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3.95%</w:t>
            </w:r>
          </w:p>
        </w:tc>
      </w:tr>
      <w:tr w:rsidR="00A3016F" w:rsidRPr="00615B98" w14:paraId="629EEE96" w14:textId="77777777" w:rsidTr="00986DF6">
        <w:trPr>
          <w:trHeight w:val="369"/>
          <w:jc w:val="center"/>
        </w:trPr>
        <w:tc>
          <w:tcPr>
            <w:tcW w:w="2712" w:type="dxa"/>
            <w:vMerge/>
            <w:tcBorders>
              <w:top w:val="nil"/>
              <w:left w:val="single" w:sz="4" w:space="0" w:color="D1D3D4"/>
              <w:bottom w:val="single" w:sz="8" w:space="0" w:color="D1D3D4"/>
              <w:right w:val="single" w:sz="4" w:space="0" w:color="D1D3D4"/>
            </w:tcBorders>
            <w:vAlign w:val="center"/>
            <w:hideMark/>
          </w:tcPr>
          <w:p w14:paraId="22D1165A" w14:textId="77777777" w:rsidR="00A3016F" w:rsidRPr="009A4674" w:rsidRDefault="00A3016F" w:rsidP="00A3016F">
            <w:pPr>
              <w:widowControl/>
              <w:autoSpaceDE/>
              <w:autoSpaceDN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4A53434D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5"/>
                <w:sz w:val="20"/>
                <w:szCs w:val="20"/>
              </w:rPr>
              <w:t>Q1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7749BB2F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3.36%</w:t>
            </w:r>
          </w:p>
        </w:tc>
      </w:tr>
      <w:tr w:rsidR="00A3016F" w:rsidRPr="00615B98" w14:paraId="287A464E" w14:textId="77777777" w:rsidTr="00986DF6">
        <w:trPr>
          <w:trHeight w:val="369"/>
          <w:jc w:val="center"/>
        </w:trPr>
        <w:tc>
          <w:tcPr>
            <w:tcW w:w="2712" w:type="dxa"/>
            <w:vMerge w:val="restart"/>
            <w:tcBorders>
              <w:top w:val="nil"/>
              <w:left w:val="single" w:sz="4" w:space="0" w:color="D1D3D4"/>
              <w:bottom w:val="single" w:sz="4" w:space="0" w:color="000000"/>
              <w:right w:val="single" w:sz="4" w:space="0" w:color="D1D3D4"/>
            </w:tcBorders>
            <w:vAlign w:val="center"/>
            <w:hideMark/>
          </w:tcPr>
          <w:p w14:paraId="0633DBB8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4"/>
                <w:sz w:val="20"/>
                <w:szCs w:val="20"/>
              </w:rPr>
              <w:t>2022</w:t>
            </w: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0E80D28D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5"/>
                <w:sz w:val="20"/>
                <w:szCs w:val="20"/>
              </w:rPr>
              <w:t>Q4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7F1A213E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1.85%</w:t>
            </w:r>
          </w:p>
        </w:tc>
      </w:tr>
      <w:tr w:rsidR="00A3016F" w:rsidRPr="00615B98" w14:paraId="255A7748" w14:textId="77777777" w:rsidTr="00986DF6">
        <w:trPr>
          <w:trHeight w:val="386"/>
          <w:jc w:val="center"/>
        </w:trPr>
        <w:tc>
          <w:tcPr>
            <w:tcW w:w="2712" w:type="dxa"/>
            <w:vMerge/>
            <w:tcBorders>
              <w:top w:val="nil"/>
              <w:left w:val="single" w:sz="4" w:space="0" w:color="D1D3D4"/>
              <w:bottom w:val="single" w:sz="4" w:space="0" w:color="000000"/>
              <w:right w:val="single" w:sz="4" w:space="0" w:color="D1D3D4"/>
            </w:tcBorders>
            <w:vAlign w:val="center"/>
            <w:hideMark/>
          </w:tcPr>
          <w:p w14:paraId="75E7DEB2" w14:textId="77777777" w:rsidR="00A3016F" w:rsidRPr="009A4674" w:rsidRDefault="00A3016F" w:rsidP="00A3016F">
            <w:pPr>
              <w:widowControl/>
              <w:autoSpaceDE/>
              <w:autoSpaceDN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5B5753FD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5"/>
                <w:sz w:val="20"/>
                <w:szCs w:val="20"/>
              </w:rPr>
              <w:t>Q3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403DFE88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1.79%</w:t>
            </w:r>
          </w:p>
        </w:tc>
      </w:tr>
      <w:tr w:rsidR="00A3016F" w:rsidRPr="00615B98" w14:paraId="4708480E" w14:textId="77777777" w:rsidTr="00986DF6">
        <w:trPr>
          <w:trHeight w:val="457"/>
          <w:jc w:val="center"/>
        </w:trPr>
        <w:tc>
          <w:tcPr>
            <w:tcW w:w="2712" w:type="dxa"/>
            <w:vMerge/>
            <w:tcBorders>
              <w:top w:val="nil"/>
              <w:left w:val="single" w:sz="4" w:space="0" w:color="D1D3D4"/>
              <w:bottom w:val="single" w:sz="4" w:space="0" w:color="000000"/>
              <w:right w:val="single" w:sz="4" w:space="0" w:color="D1D3D4"/>
            </w:tcBorders>
            <w:vAlign w:val="center"/>
            <w:hideMark/>
          </w:tcPr>
          <w:p w14:paraId="1A9ED0C3" w14:textId="77777777" w:rsidR="00A3016F" w:rsidRPr="009A4674" w:rsidRDefault="00A3016F" w:rsidP="00A3016F">
            <w:pPr>
              <w:widowControl/>
              <w:autoSpaceDE/>
              <w:autoSpaceDN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59BB86E1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5"/>
                <w:sz w:val="20"/>
                <w:szCs w:val="20"/>
              </w:rPr>
              <w:t>Q2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0A324EDE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4"/>
                <w:sz w:val="20"/>
                <w:szCs w:val="20"/>
              </w:rPr>
              <w:t>0.59%</w:t>
            </w:r>
          </w:p>
        </w:tc>
      </w:tr>
      <w:tr w:rsidR="00A3016F" w:rsidRPr="00615B98" w14:paraId="30A6D1EF" w14:textId="77777777" w:rsidTr="00986DF6">
        <w:trPr>
          <w:trHeight w:val="351"/>
          <w:jc w:val="center"/>
        </w:trPr>
        <w:tc>
          <w:tcPr>
            <w:tcW w:w="2712" w:type="dxa"/>
            <w:vMerge/>
            <w:tcBorders>
              <w:top w:val="nil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23C11DC6" w14:textId="77777777" w:rsidR="00A3016F" w:rsidRPr="009A4674" w:rsidRDefault="00A3016F" w:rsidP="00A3016F">
            <w:pPr>
              <w:widowControl/>
              <w:autoSpaceDE/>
              <w:autoSpaceDN/>
              <w:rPr>
                <w:rFonts w:eastAsia="Times New Roman" w:cs="Calibri"/>
                <w:sz w:val="20"/>
                <w:szCs w:val="20"/>
              </w:rPr>
            </w:pPr>
          </w:p>
        </w:tc>
        <w:tc>
          <w:tcPr>
            <w:tcW w:w="3270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42A002DB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5"/>
                <w:sz w:val="20"/>
                <w:szCs w:val="20"/>
              </w:rPr>
              <w:t>Q1</w:t>
            </w:r>
          </w:p>
        </w:tc>
        <w:tc>
          <w:tcPr>
            <w:tcW w:w="3243" w:type="dxa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  <w:hideMark/>
          </w:tcPr>
          <w:p w14:paraId="0F9A61CE" w14:textId="77777777" w:rsidR="00A3016F" w:rsidRPr="009A4674" w:rsidRDefault="00A3016F" w:rsidP="00A3016F">
            <w:pPr>
              <w:widowControl/>
              <w:autoSpaceDE/>
              <w:autoSpaceDN/>
              <w:jc w:val="center"/>
              <w:rPr>
                <w:rFonts w:eastAsia="Times New Roman" w:cs="Calibri"/>
                <w:sz w:val="20"/>
                <w:szCs w:val="20"/>
              </w:rPr>
            </w:pPr>
            <w:r w:rsidRPr="009A4674">
              <w:rPr>
                <w:rFonts w:eastAsia="Times New Roman" w:cs="Calibri"/>
                <w:spacing w:val="-2"/>
                <w:sz w:val="20"/>
                <w:szCs w:val="20"/>
              </w:rPr>
              <w:t>0.18%</w:t>
            </w:r>
          </w:p>
        </w:tc>
      </w:tr>
    </w:tbl>
    <w:p w14:paraId="70B6C859" w14:textId="471E28D1" w:rsidR="00442A4F" w:rsidRDefault="00FD4248" w:rsidP="00D13E2E">
      <w:pPr>
        <w:rPr>
          <w:color w:val="444444"/>
          <w:spacing w:val="-4"/>
          <w:sz w:val="20"/>
        </w:rPr>
      </w:pPr>
      <w:r>
        <w:rPr>
          <w:color w:val="444444"/>
          <w:sz w:val="20"/>
        </w:rPr>
        <w:t>*Expressed</w:t>
      </w:r>
      <w:r>
        <w:rPr>
          <w:color w:val="444444"/>
          <w:spacing w:val="-9"/>
          <w:sz w:val="20"/>
        </w:rPr>
        <w:t xml:space="preserve"> </w:t>
      </w:r>
      <w:r>
        <w:rPr>
          <w:color w:val="444444"/>
          <w:sz w:val="20"/>
        </w:rPr>
        <w:t>as</w:t>
      </w:r>
      <w:r>
        <w:rPr>
          <w:color w:val="444444"/>
          <w:spacing w:val="-8"/>
          <w:sz w:val="20"/>
        </w:rPr>
        <w:t xml:space="preserve"> </w:t>
      </w:r>
      <w:r>
        <w:rPr>
          <w:color w:val="444444"/>
          <w:sz w:val="20"/>
        </w:rPr>
        <w:t>a</w:t>
      </w:r>
      <w:r>
        <w:rPr>
          <w:color w:val="444444"/>
          <w:spacing w:val="-6"/>
          <w:sz w:val="20"/>
        </w:rPr>
        <w:t xml:space="preserve"> </w:t>
      </w:r>
      <w:r>
        <w:rPr>
          <w:color w:val="444444"/>
          <w:sz w:val="20"/>
        </w:rPr>
        <w:t>percentage</w:t>
      </w:r>
      <w:r>
        <w:rPr>
          <w:color w:val="444444"/>
          <w:spacing w:val="-6"/>
          <w:sz w:val="20"/>
        </w:rPr>
        <w:t xml:space="preserve"> </w:t>
      </w:r>
      <w:r>
        <w:rPr>
          <w:color w:val="444444"/>
          <w:sz w:val="20"/>
        </w:rPr>
        <w:t>based</w:t>
      </w:r>
      <w:r>
        <w:rPr>
          <w:color w:val="444444"/>
          <w:spacing w:val="-6"/>
          <w:sz w:val="20"/>
        </w:rPr>
        <w:t xml:space="preserve"> </w:t>
      </w:r>
      <w:r>
        <w:rPr>
          <w:color w:val="444444"/>
          <w:sz w:val="20"/>
        </w:rPr>
        <w:t>on</w:t>
      </w:r>
      <w:r>
        <w:rPr>
          <w:color w:val="444444"/>
          <w:spacing w:val="-6"/>
          <w:sz w:val="20"/>
        </w:rPr>
        <w:t xml:space="preserve"> </w:t>
      </w:r>
      <w:r>
        <w:rPr>
          <w:color w:val="444444"/>
          <w:sz w:val="20"/>
        </w:rPr>
        <w:t>average</w:t>
      </w:r>
      <w:r>
        <w:rPr>
          <w:color w:val="444444"/>
          <w:spacing w:val="-9"/>
          <w:sz w:val="20"/>
        </w:rPr>
        <w:t xml:space="preserve"> </w:t>
      </w:r>
      <w:r>
        <w:rPr>
          <w:color w:val="444444"/>
          <w:sz w:val="20"/>
        </w:rPr>
        <w:t>cash</w:t>
      </w:r>
      <w:r>
        <w:rPr>
          <w:color w:val="444444"/>
          <w:spacing w:val="-6"/>
          <w:sz w:val="20"/>
        </w:rPr>
        <w:t xml:space="preserve"> </w:t>
      </w:r>
      <w:r>
        <w:rPr>
          <w:color w:val="444444"/>
          <w:sz w:val="20"/>
        </w:rPr>
        <w:t>in</w:t>
      </w:r>
      <w:r>
        <w:rPr>
          <w:color w:val="444444"/>
          <w:spacing w:val="-7"/>
          <w:sz w:val="20"/>
        </w:rPr>
        <w:t xml:space="preserve"> </w:t>
      </w:r>
      <w:r>
        <w:rPr>
          <w:color w:val="444444"/>
          <w:spacing w:val="-4"/>
          <w:sz w:val="20"/>
        </w:rPr>
        <w:t>BDSP</w:t>
      </w:r>
    </w:p>
    <w:p w14:paraId="7CE99F8F" w14:textId="77777777" w:rsidR="00D13E2E" w:rsidRDefault="00D13E2E" w:rsidP="00D13E2E">
      <w:pPr>
        <w:rPr>
          <w:color w:val="444444"/>
          <w:spacing w:val="-4"/>
          <w:sz w:val="20"/>
        </w:rPr>
      </w:pPr>
    </w:p>
    <w:p w14:paraId="5C75F7AA" w14:textId="77777777" w:rsidR="00F439D1" w:rsidRDefault="00F439D1" w:rsidP="00B51DD3">
      <w:pPr>
        <w:rPr>
          <w:color w:val="000000" w:themeColor="text1"/>
          <w:sz w:val="15"/>
          <w:szCs w:val="15"/>
        </w:rPr>
      </w:pPr>
      <w:r w:rsidRPr="00DD1933">
        <w:rPr>
          <w:color w:val="000000" w:themeColor="text1"/>
          <w:sz w:val="15"/>
          <w:szCs w:val="15"/>
        </w:rPr>
        <w:t xml:space="preserve">Securities and advisory services offered through Copper Financial Network, </w:t>
      </w:r>
      <w:proofErr w:type="gramStart"/>
      <w:r w:rsidRPr="00DD1933">
        <w:rPr>
          <w:color w:val="000000" w:themeColor="text1"/>
          <w:sz w:val="15"/>
          <w:szCs w:val="15"/>
        </w:rPr>
        <w:t>LLC (“</w:t>
      </w:r>
      <w:proofErr w:type="gramEnd"/>
      <w:r w:rsidRPr="00DD1933">
        <w:rPr>
          <w:color w:val="000000" w:themeColor="text1"/>
          <w:sz w:val="15"/>
          <w:szCs w:val="15"/>
        </w:rPr>
        <w:t xml:space="preserve">Copper </w:t>
      </w:r>
      <w:proofErr w:type="gramStart"/>
      <w:r w:rsidRPr="00DD1933">
        <w:rPr>
          <w:color w:val="000000" w:themeColor="text1"/>
          <w:sz w:val="15"/>
          <w:szCs w:val="15"/>
        </w:rPr>
        <w:t>Financial”)</w:t>
      </w:r>
      <w:proofErr w:type="gramEnd"/>
      <w:r w:rsidRPr="00DD1933">
        <w:rPr>
          <w:color w:val="000000" w:themeColor="text1"/>
          <w:sz w:val="15"/>
          <w:szCs w:val="15"/>
        </w:rPr>
        <w:t>, Member </w:t>
      </w:r>
      <w:hyperlink r:id="rId8" w:tgtFrame="_new" w:history="1">
        <w:r w:rsidRPr="00DD1933">
          <w:rPr>
            <w:rStyle w:val="Hyperlink"/>
            <w:b/>
            <w:bCs/>
            <w:color w:val="000000" w:themeColor="text1"/>
            <w:sz w:val="15"/>
            <w:szCs w:val="15"/>
            <w:u w:val="none"/>
          </w:rPr>
          <w:t>FINRA</w:t>
        </w:r>
      </w:hyperlink>
      <w:r w:rsidRPr="00DD1933">
        <w:rPr>
          <w:color w:val="000000" w:themeColor="text1"/>
          <w:sz w:val="15"/>
          <w:szCs w:val="15"/>
        </w:rPr>
        <w:t>/</w:t>
      </w:r>
      <w:hyperlink r:id="rId9" w:tgtFrame="_new" w:history="1">
        <w:r w:rsidRPr="00DD1933">
          <w:rPr>
            <w:rStyle w:val="Hyperlink"/>
            <w:b/>
            <w:bCs/>
            <w:color w:val="000000" w:themeColor="text1"/>
            <w:sz w:val="15"/>
            <w:szCs w:val="15"/>
            <w:u w:val="none"/>
          </w:rPr>
          <w:t>SIPC</w:t>
        </w:r>
      </w:hyperlink>
      <w:r w:rsidRPr="00DD1933">
        <w:rPr>
          <w:color w:val="000000" w:themeColor="text1"/>
          <w:sz w:val="15"/>
          <w:szCs w:val="15"/>
        </w:rPr>
        <w:t xml:space="preserve">. Copper Financial is </w:t>
      </w:r>
      <w:proofErr w:type="gramStart"/>
      <w:r w:rsidRPr="00DD1933">
        <w:rPr>
          <w:color w:val="000000" w:themeColor="text1"/>
          <w:sz w:val="15"/>
          <w:szCs w:val="15"/>
        </w:rPr>
        <w:t>a SEC</w:t>
      </w:r>
      <w:proofErr w:type="gramEnd"/>
      <w:r w:rsidRPr="00DD1933">
        <w:rPr>
          <w:color w:val="000000" w:themeColor="text1"/>
          <w:sz w:val="15"/>
          <w:szCs w:val="15"/>
        </w:rPr>
        <w:t xml:space="preserve"> registered investment adviser. Products offered through Copper Financial: </w:t>
      </w:r>
      <w:r w:rsidRPr="00DD1933">
        <w:rPr>
          <w:b/>
          <w:bCs/>
          <w:color w:val="000000" w:themeColor="text1"/>
          <w:sz w:val="15"/>
          <w:szCs w:val="15"/>
        </w:rPr>
        <w:t>are not NCUA/NCUSIF or otherwise federally insured, are not guarantees or obligations of the credit union, and may involve investment risk including possible loss of principal.</w:t>
      </w:r>
      <w:r w:rsidRPr="00DD1933">
        <w:rPr>
          <w:color w:val="000000" w:themeColor="text1"/>
          <w:sz w:val="15"/>
          <w:szCs w:val="15"/>
        </w:rPr>
        <w:t xml:space="preserve"> Copper Financial is a </w:t>
      </w:r>
      <w:proofErr w:type="gramStart"/>
      <w:r w:rsidRPr="00DD1933">
        <w:rPr>
          <w:color w:val="000000" w:themeColor="text1"/>
          <w:sz w:val="15"/>
          <w:szCs w:val="15"/>
        </w:rPr>
        <w:t>wholly-owned</w:t>
      </w:r>
      <w:proofErr w:type="gramEnd"/>
      <w:r w:rsidRPr="00DD1933">
        <w:rPr>
          <w:color w:val="000000" w:themeColor="text1"/>
          <w:sz w:val="15"/>
          <w:szCs w:val="15"/>
        </w:rPr>
        <w:t xml:space="preserve"> subsidiary of </w:t>
      </w:r>
      <w:proofErr w:type="spellStart"/>
      <w:r w:rsidRPr="00DD1933">
        <w:rPr>
          <w:color w:val="000000" w:themeColor="text1"/>
          <w:sz w:val="15"/>
          <w:szCs w:val="15"/>
        </w:rPr>
        <w:t>CommunityAmerica</w:t>
      </w:r>
      <w:proofErr w:type="spellEnd"/>
      <w:r w:rsidRPr="00DD1933">
        <w:rPr>
          <w:color w:val="000000" w:themeColor="text1"/>
          <w:sz w:val="15"/>
          <w:szCs w:val="15"/>
        </w:rPr>
        <w:t xml:space="preserve"> Federal Credit Union.     </w:t>
      </w:r>
    </w:p>
    <w:p w14:paraId="113F5F5F" w14:textId="47B3EC1D" w:rsidR="00F81DC0" w:rsidRDefault="00F439D1" w:rsidP="00B51DD3">
      <w:pPr>
        <w:rPr>
          <w:color w:val="444444"/>
          <w:spacing w:val="-4"/>
          <w:sz w:val="20"/>
        </w:rPr>
      </w:pPr>
      <w:r w:rsidRPr="00DD1933">
        <w:rPr>
          <w:color w:val="000000" w:themeColor="text1"/>
          <w:sz w:val="15"/>
          <w:szCs w:val="15"/>
        </w:rPr>
        <w:t xml:space="preserve">                                                                                                                          </w:t>
      </w:r>
      <w:r w:rsidRPr="00DD1933">
        <w:rPr>
          <w:sz w:val="15"/>
          <w:szCs w:val="15"/>
        </w:rPr>
        <w:t xml:space="preserve">                                                                                                                                        </w:t>
      </w:r>
    </w:p>
    <w:p w14:paraId="4387D849" w14:textId="77777777" w:rsidR="00F81DC0" w:rsidRPr="00DD1933" w:rsidRDefault="00F81DC0" w:rsidP="00B51DD3">
      <w:pPr>
        <w:pStyle w:val="Footer"/>
        <w:tabs>
          <w:tab w:val="clear" w:pos="4680"/>
          <w:tab w:val="center" w:pos="9360"/>
        </w:tabs>
        <w:rPr>
          <w:rFonts w:ascii="Marselis Pro" w:hAnsi="Marselis Pro"/>
          <w:sz w:val="15"/>
          <w:szCs w:val="15"/>
        </w:rPr>
      </w:pPr>
      <w:r w:rsidRPr="00DD1933">
        <w:rPr>
          <w:rFonts w:ascii="Marselis Pro" w:hAnsi="Marselis Pro"/>
          <w:sz w:val="15"/>
          <w:szCs w:val="15"/>
        </w:rPr>
        <w:t xml:space="preserve">Securities and investment advisory services are offered through the firms: </w:t>
      </w:r>
      <w:proofErr w:type="spellStart"/>
      <w:r w:rsidRPr="00DD1933">
        <w:rPr>
          <w:rFonts w:ascii="Marselis Pro" w:hAnsi="Marselis Pro"/>
          <w:sz w:val="15"/>
          <w:szCs w:val="15"/>
        </w:rPr>
        <w:t>Osaic</w:t>
      </w:r>
      <w:proofErr w:type="spellEnd"/>
      <w:r w:rsidRPr="00DD1933">
        <w:rPr>
          <w:rFonts w:ascii="Marselis Pro" w:hAnsi="Marselis Pro"/>
          <w:sz w:val="15"/>
          <w:szCs w:val="15"/>
        </w:rPr>
        <w:t xml:space="preserve"> Wealth, Inc. and </w:t>
      </w:r>
      <w:proofErr w:type="spellStart"/>
      <w:r w:rsidRPr="00DD1933">
        <w:rPr>
          <w:rFonts w:ascii="Marselis Pro" w:hAnsi="Marselis Pro"/>
          <w:sz w:val="15"/>
          <w:szCs w:val="15"/>
        </w:rPr>
        <w:t>Osaic</w:t>
      </w:r>
      <w:proofErr w:type="spellEnd"/>
      <w:r w:rsidRPr="00DD1933">
        <w:rPr>
          <w:rFonts w:ascii="Marselis Pro" w:hAnsi="Marselis Pro"/>
          <w:sz w:val="15"/>
          <w:szCs w:val="15"/>
        </w:rPr>
        <w:t xml:space="preserve"> Institutions, Inc., broker-dealers, registered investment advisers, and members of FINRA and SIPC. Securities are offered through </w:t>
      </w:r>
      <w:proofErr w:type="spellStart"/>
      <w:r w:rsidRPr="00DD1933">
        <w:rPr>
          <w:rFonts w:ascii="Marselis Pro" w:hAnsi="Marselis Pro"/>
          <w:sz w:val="15"/>
          <w:szCs w:val="15"/>
        </w:rPr>
        <w:t>Osaic</w:t>
      </w:r>
      <w:proofErr w:type="spellEnd"/>
      <w:r w:rsidRPr="00DD1933">
        <w:rPr>
          <w:rFonts w:ascii="Marselis Pro" w:hAnsi="Marselis Pro"/>
          <w:sz w:val="15"/>
          <w:szCs w:val="15"/>
        </w:rPr>
        <w:t xml:space="preserve"> Services, Inc. and Ladenburg Thalmann &amp; Co., </w:t>
      </w:r>
      <w:proofErr w:type="gramStart"/>
      <w:r w:rsidRPr="00DD1933">
        <w:rPr>
          <w:rFonts w:ascii="Marselis Pro" w:hAnsi="Marselis Pro"/>
          <w:sz w:val="15"/>
          <w:szCs w:val="15"/>
        </w:rPr>
        <w:t>broker-dealers</w:t>
      </w:r>
      <w:proofErr w:type="gramEnd"/>
      <w:r w:rsidRPr="00DD1933">
        <w:rPr>
          <w:rFonts w:ascii="Marselis Pro" w:hAnsi="Marselis Pro"/>
          <w:sz w:val="15"/>
          <w:szCs w:val="15"/>
        </w:rPr>
        <w:t xml:space="preserve"> and members of FINRA and SIPC. Advisory services are offered through Ladenburg Thalmann Asset Management, Inc., </w:t>
      </w:r>
      <w:proofErr w:type="spellStart"/>
      <w:r w:rsidRPr="00DD1933">
        <w:rPr>
          <w:rFonts w:ascii="Marselis Pro" w:hAnsi="Marselis Pro"/>
          <w:sz w:val="15"/>
          <w:szCs w:val="15"/>
        </w:rPr>
        <w:t>Osaic</w:t>
      </w:r>
      <w:proofErr w:type="spellEnd"/>
      <w:r w:rsidRPr="00DD1933">
        <w:rPr>
          <w:rFonts w:ascii="Marselis Pro" w:hAnsi="Marselis Pro"/>
          <w:sz w:val="15"/>
          <w:szCs w:val="15"/>
        </w:rPr>
        <w:t xml:space="preserve"> Advisory </w:t>
      </w:r>
      <w:proofErr w:type="gramStart"/>
      <w:r w:rsidRPr="00DD1933">
        <w:rPr>
          <w:rFonts w:ascii="Marselis Pro" w:hAnsi="Marselis Pro"/>
          <w:sz w:val="15"/>
          <w:szCs w:val="15"/>
        </w:rPr>
        <w:t>Services,</w:t>
      </w:r>
      <w:proofErr w:type="gramEnd"/>
      <w:r w:rsidRPr="00DD1933">
        <w:rPr>
          <w:rFonts w:ascii="Marselis Pro" w:hAnsi="Marselis Pro"/>
          <w:sz w:val="15"/>
          <w:szCs w:val="15"/>
        </w:rPr>
        <w:t xml:space="preserve"> LLC. and CW Advisors, LLC., registered investment advisers. Advisory programs offered by </w:t>
      </w:r>
      <w:proofErr w:type="spellStart"/>
      <w:r w:rsidRPr="00DD1933">
        <w:rPr>
          <w:rFonts w:ascii="Marselis Pro" w:hAnsi="Marselis Pro"/>
          <w:sz w:val="15"/>
          <w:szCs w:val="15"/>
        </w:rPr>
        <w:t>Osaic</w:t>
      </w:r>
      <w:proofErr w:type="spellEnd"/>
      <w:r w:rsidRPr="00DD1933">
        <w:rPr>
          <w:rFonts w:ascii="Marselis Pro" w:hAnsi="Marselis Pro"/>
          <w:sz w:val="15"/>
          <w:szCs w:val="15"/>
        </w:rPr>
        <w:t xml:space="preserve"> Wealth, Inc. are sponsored by VISION2020 Wealth Management Corp., an affiliated registered investment adviser.</w:t>
      </w:r>
    </w:p>
    <w:p w14:paraId="4D813BEA" w14:textId="240AF41D" w:rsidR="00F81DC0" w:rsidRPr="00DD1933" w:rsidRDefault="00F81DC0" w:rsidP="00F81DC0">
      <w:pPr>
        <w:pStyle w:val="Footer"/>
        <w:tabs>
          <w:tab w:val="clear" w:pos="4680"/>
          <w:tab w:val="center" w:pos="9360"/>
        </w:tabs>
        <w:rPr>
          <w:rFonts w:ascii="Marselis Pro" w:hAnsi="Marselis Pro"/>
          <w:color w:val="000000" w:themeColor="text1"/>
          <w:sz w:val="15"/>
          <w:szCs w:val="15"/>
        </w:rPr>
      </w:pPr>
      <w:r w:rsidRPr="00DD1933">
        <w:rPr>
          <w:rFonts w:ascii="Marselis Pro" w:hAnsi="Marselis Pro"/>
          <w:sz w:val="15"/>
          <w:szCs w:val="15"/>
        </w:rPr>
        <w:t xml:space="preserve">© </w:t>
      </w:r>
      <w:proofErr w:type="spellStart"/>
      <w:r w:rsidRPr="00DD1933">
        <w:rPr>
          <w:rFonts w:ascii="Marselis Pro" w:hAnsi="Marselis Pro"/>
          <w:sz w:val="15"/>
          <w:szCs w:val="15"/>
        </w:rPr>
        <w:t>Osaic</w:t>
      </w:r>
      <w:proofErr w:type="spellEnd"/>
      <w:r w:rsidRPr="00DD1933">
        <w:rPr>
          <w:rFonts w:ascii="Marselis Pro" w:hAnsi="Marselis Pro"/>
          <w:sz w:val="15"/>
          <w:szCs w:val="15"/>
        </w:rPr>
        <w:t xml:space="preserve">, Inc.  •  osaic.com                                                                                                                                                                                                </w:t>
      </w:r>
      <w:r w:rsidR="00DD1933" w:rsidRPr="00DD1933">
        <w:rPr>
          <w:rFonts w:ascii="Marselis Pro" w:hAnsi="Marselis Pro"/>
          <w:sz w:val="15"/>
          <w:szCs w:val="15"/>
        </w:rPr>
        <w:t xml:space="preserve">                                     </w:t>
      </w:r>
      <w:r w:rsidRPr="00DD1933">
        <w:rPr>
          <w:rFonts w:ascii="Marselis Pro" w:hAnsi="Marselis Pro"/>
          <w:sz w:val="15"/>
          <w:szCs w:val="15"/>
        </w:rPr>
        <w:t xml:space="preserve">      05/26 5852465</w:t>
      </w:r>
    </w:p>
    <w:p w14:paraId="60A4D11D" w14:textId="2C549293" w:rsidR="00411B9C" w:rsidRDefault="00411B9C" w:rsidP="00F81DC0">
      <w:pPr>
        <w:spacing w:before="177"/>
      </w:pPr>
    </w:p>
    <w:sectPr w:rsidR="00411B9C">
      <w:type w:val="continuous"/>
      <w:pgSz w:w="12240" w:h="15840"/>
      <w:pgMar w:top="760" w:right="88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rselis Pro">
    <w:altName w:val="Calibri"/>
    <w:panose1 w:val="00000000000000000000"/>
    <w:charset w:val="00"/>
    <w:family w:val="modern"/>
    <w:notTrueType/>
    <w:pitch w:val="variable"/>
    <w:sig w:usb0="A00000FF" w:usb1="4000A05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B9C"/>
    <w:rsid w:val="00110987"/>
    <w:rsid w:val="00121C79"/>
    <w:rsid w:val="001242E2"/>
    <w:rsid w:val="001317C2"/>
    <w:rsid w:val="001E53C2"/>
    <w:rsid w:val="00211B2F"/>
    <w:rsid w:val="0022358E"/>
    <w:rsid w:val="00253742"/>
    <w:rsid w:val="003A2C6D"/>
    <w:rsid w:val="00411B9C"/>
    <w:rsid w:val="004358A0"/>
    <w:rsid w:val="00442A4F"/>
    <w:rsid w:val="004C0E6C"/>
    <w:rsid w:val="0059688F"/>
    <w:rsid w:val="00614E9E"/>
    <w:rsid w:val="00615B98"/>
    <w:rsid w:val="0064515D"/>
    <w:rsid w:val="00653FD6"/>
    <w:rsid w:val="006579F9"/>
    <w:rsid w:val="00782A38"/>
    <w:rsid w:val="00787B58"/>
    <w:rsid w:val="008A4950"/>
    <w:rsid w:val="008C2368"/>
    <w:rsid w:val="008E6F5B"/>
    <w:rsid w:val="008F0A8D"/>
    <w:rsid w:val="00964F6D"/>
    <w:rsid w:val="00985360"/>
    <w:rsid w:val="00986DF6"/>
    <w:rsid w:val="00995E4E"/>
    <w:rsid w:val="009A4674"/>
    <w:rsid w:val="009E65C3"/>
    <w:rsid w:val="00A04893"/>
    <w:rsid w:val="00A3016F"/>
    <w:rsid w:val="00AB34BA"/>
    <w:rsid w:val="00B352C0"/>
    <w:rsid w:val="00B3587A"/>
    <w:rsid w:val="00B51DD3"/>
    <w:rsid w:val="00B53917"/>
    <w:rsid w:val="00B7795F"/>
    <w:rsid w:val="00B8439E"/>
    <w:rsid w:val="00B95217"/>
    <w:rsid w:val="00B968AB"/>
    <w:rsid w:val="00BB737A"/>
    <w:rsid w:val="00CB36EA"/>
    <w:rsid w:val="00CB5216"/>
    <w:rsid w:val="00D13E2E"/>
    <w:rsid w:val="00D605FC"/>
    <w:rsid w:val="00DA2679"/>
    <w:rsid w:val="00DD1933"/>
    <w:rsid w:val="00E83016"/>
    <w:rsid w:val="00F439D1"/>
    <w:rsid w:val="00F50643"/>
    <w:rsid w:val="00F81DC0"/>
    <w:rsid w:val="00F902B0"/>
    <w:rsid w:val="00FA61D5"/>
    <w:rsid w:val="00FD4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F9E4C5"/>
  <w15:docId w15:val="{B46DD7AE-5BB9-4A38-8573-12E28404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arselis Pro" w:eastAsia="Marselis Pro" w:hAnsi="Marselis Pro" w:cs="Marselis P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49"/>
      <w:ind w:left="4693" w:right="1141"/>
    </w:pPr>
    <w:rPr>
      <w:sz w:val="64"/>
      <w:szCs w:val="6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51"/>
      <w:ind w:left="1378" w:right="1371"/>
      <w:jc w:val="center"/>
    </w:pPr>
  </w:style>
  <w:style w:type="paragraph" w:styleId="Footer">
    <w:name w:val="footer"/>
    <w:basedOn w:val="Normal"/>
    <w:link w:val="FooterChar"/>
    <w:uiPriority w:val="99"/>
    <w:unhideWhenUsed/>
    <w:rsid w:val="00F81DC0"/>
    <w:pPr>
      <w:widowControl/>
      <w:tabs>
        <w:tab w:val="center" w:pos="4680"/>
        <w:tab w:val="right" w:pos="9360"/>
      </w:tabs>
      <w:autoSpaceDE/>
      <w:autoSpaceDN/>
      <w:spacing w:after="80"/>
    </w:pPr>
    <w:rPr>
      <w:rFonts w:ascii="Arial" w:eastAsiaTheme="minorHAnsi" w:hAnsi="Arial" w:cs="Arial"/>
      <w:kern w:val="2"/>
      <w:sz w:val="16"/>
      <w:szCs w:val="16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81DC0"/>
    <w:rPr>
      <w:rFonts w:ascii="Arial" w:hAnsi="Arial" w:cs="Arial"/>
      <w:kern w:val="2"/>
      <w:sz w:val="16"/>
      <w:szCs w:val="16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F81D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38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ra.org/about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https://www.sipc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942525-1800-48e5-9dde-506b1efd4b72">
      <Terms xmlns="http://schemas.microsoft.com/office/infopath/2007/PartnerControls"/>
    </lcf76f155ced4ddcb4097134ff3c332f>
    <TaxCatchAll xmlns="ee16ffb3-eec4-4bf0-8696-46bbdadebdb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5A962752A78849A2B42E67C1406E9A" ma:contentTypeVersion="13" ma:contentTypeDescription="Create a new document." ma:contentTypeScope="" ma:versionID="9445f4190b9ed99b3477c23395ed88a5">
  <xsd:schema xmlns:xsd="http://www.w3.org/2001/XMLSchema" xmlns:xs="http://www.w3.org/2001/XMLSchema" xmlns:p="http://schemas.microsoft.com/office/2006/metadata/properties" xmlns:ns2="c4942525-1800-48e5-9dde-506b1efd4b72" xmlns:ns3="ee16ffb3-eec4-4bf0-8696-46bbdadebdb0" targetNamespace="http://schemas.microsoft.com/office/2006/metadata/properties" ma:root="true" ma:fieldsID="bbc063da2d26d97f0b6e2503cd93e590" ns2:_="" ns3:_="">
    <xsd:import namespace="c4942525-1800-48e5-9dde-506b1efd4b72"/>
    <xsd:import namespace="ee16ffb3-eec4-4bf0-8696-46bbdadebd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42525-1800-48e5-9dde-506b1efd4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35bf2f-b1b3-45ee-8559-9c2cf60baf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6ffb3-eec4-4bf0-8696-46bbdadebdb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c8d7a1f-4d64-46d7-86a4-6edf40fd9119}" ma:internalName="TaxCatchAll" ma:showField="CatchAllData" ma:web="ee16ffb3-eec4-4bf0-8696-46bbdadebd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81E73F-1A2A-4198-80F1-35BD92BC0123}">
  <ds:schemaRefs>
    <ds:schemaRef ds:uri="http://schemas.microsoft.com/office/2006/metadata/properties"/>
    <ds:schemaRef ds:uri="http://schemas.microsoft.com/office/infopath/2007/PartnerControls"/>
    <ds:schemaRef ds:uri="c4942525-1800-48e5-9dde-506b1efd4b72"/>
    <ds:schemaRef ds:uri="ee16ffb3-eec4-4bf0-8696-46bbdadebdb0"/>
  </ds:schemaRefs>
</ds:datastoreItem>
</file>

<file path=customXml/itemProps2.xml><?xml version="1.0" encoding="utf-8"?>
<ds:datastoreItem xmlns:ds="http://schemas.openxmlformats.org/officeDocument/2006/customXml" ds:itemID="{B5AF874F-A980-423F-BAFA-0647FAE647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CAFB34-89D1-495A-AA86-6A02791E8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42525-1800-48e5-9dde-506b1efd4b72"/>
    <ds:schemaRef ds:uri="ee16ffb3-eec4-4bf0-8696-46bbdadebd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438</Words>
  <Characters>2414</Characters>
  <Application>Microsoft Office Word</Application>
  <DocSecurity>0</DocSecurity>
  <Lines>104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Brown, Wesley</dc:creator>
  <cp:lastModifiedBy>Abby Fellows</cp:lastModifiedBy>
  <cp:revision>23</cp:revision>
  <dcterms:created xsi:type="dcterms:W3CDTF">2026-06-01T19:59:00Z</dcterms:created>
  <dcterms:modified xsi:type="dcterms:W3CDTF">2026-06-23T20:23:00Z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Adobe InDesign 18.3 (Macintosh)</vt:lpwstr>
  </property>
  <property fmtid="{D5CDD505-2E9C-101B-9397-08002B2CF9AE}" pid="4" name="LastSaved">
    <vt:filetime>2023-08-10T00:00:00Z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0x0101006C5A962752A78849A2B42E67C1406E9A</vt:lpwstr>
  </property>
  <property fmtid="{D5CDD505-2E9C-101B-9397-08002B2CF9AE}" pid="7" name="MediaServiceImageTags">
    <vt:lpwstr/>
  </property>
  <property fmtid="{D5CDD505-2E9C-101B-9397-08002B2CF9AE}" pid="8" name="MSIP_Label_11c3f6da-4e94-4b89-98f8-b444a7c1606f_Enabled">
    <vt:lpwstr>true</vt:lpwstr>
  </property>
  <property fmtid="{D5CDD505-2E9C-101B-9397-08002B2CF9AE}" pid="9" name="MSIP_Label_11c3f6da-4e94-4b89-98f8-b444a7c1606f_SetDate">
    <vt:lpwstr>2025-08-11T14:56:22Z</vt:lpwstr>
  </property>
  <property fmtid="{D5CDD505-2E9C-101B-9397-08002B2CF9AE}" pid="10" name="MSIP_Label_11c3f6da-4e94-4b89-98f8-b444a7c1606f_Method">
    <vt:lpwstr>Privileged</vt:lpwstr>
  </property>
  <property fmtid="{D5CDD505-2E9C-101B-9397-08002B2CF9AE}" pid="11" name="MSIP_Label_11c3f6da-4e94-4b89-98f8-b444a7c1606f_Name">
    <vt:lpwstr>Public - Test</vt:lpwstr>
  </property>
  <property fmtid="{D5CDD505-2E9C-101B-9397-08002B2CF9AE}" pid="12" name="MSIP_Label_11c3f6da-4e94-4b89-98f8-b444a7c1606f_SiteId">
    <vt:lpwstr>c1ef4e97-eeff-48b2-b720-0c8480a08061</vt:lpwstr>
  </property>
  <property fmtid="{D5CDD505-2E9C-101B-9397-08002B2CF9AE}" pid="13" name="MSIP_Label_11c3f6da-4e94-4b89-98f8-b444a7c1606f_ActionId">
    <vt:lpwstr>e570035e-fd4b-4683-9027-f67055158316</vt:lpwstr>
  </property>
  <property fmtid="{D5CDD505-2E9C-101B-9397-08002B2CF9AE}" pid="14" name="MSIP_Label_11c3f6da-4e94-4b89-98f8-b444a7c1606f_ContentBits">
    <vt:lpwstr>0</vt:lpwstr>
  </property>
  <property fmtid="{D5CDD505-2E9C-101B-9397-08002B2CF9AE}" pid="15" name="MSIP_Label_11c3f6da-4e94-4b89-98f8-b444a7c1606f_Tag">
    <vt:lpwstr>10, 0, 1, 1</vt:lpwstr>
  </property>
</Properties>
</file>