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6EF1" w14:textId="6590D6B6" w:rsidR="00F0205F" w:rsidRPr="00262FEF" w:rsidRDefault="001612EA" w:rsidP="00B8625A">
      <w:pPr>
        <w:pStyle w:val="Title"/>
        <w:spacing w:line="201" w:lineRule="auto"/>
        <w:jc w:val="center"/>
        <w:rPr>
          <w:color w:val="113658"/>
          <w:sz w:val="52"/>
          <w:szCs w:val="52"/>
        </w:rPr>
      </w:pPr>
      <w:r w:rsidRPr="00262FEF">
        <w:rPr>
          <w:noProof/>
          <w:color w:val="113658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91A1CA4" wp14:editId="2F0E53A1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2286000" cy="729615"/>
            <wp:effectExtent l="0" t="0" r="0" b="0"/>
            <wp:wrapSquare wrapText="bothSides"/>
            <wp:docPr id="144682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25A">
        <w:rPr>
          <w:color w:val="113658"/>
          <w:sz w:val="52"/>
          <w:szCs w:val="52"/>
        </w:rPr>
        <w:t xml:space="preserve">                 </w:t>
      </w:r>
      <w:r w:rsidR="00D86064" w:rsidRPr="00262FEF">
        <w:rPr>
          <w:color w:val="113658"/>
          <w:sz w:val="52"/>
          <w:szCs w:val="52"/>
        </w:rPr>
        <w:t>Cash</w:t>
      </w:r>
      <w:r w:rsidR="00D86064" w:rsidRPr="00262FEF">
        <w:rPr>
          <w:color w:val="113658"/>
          <w:spacing w:val="-38"/>
          <w:sz w:val="52"/>
          <w:szCs w:val="52"/>
        </w:rPr>
        <w:t xml:space="preserve"> </w:t>
      </w:r>
      <w:r w:rsidR="00D86064" w:rsidRPr="00262FEF">
        <w:rPr>
          <w:color w:val="113658"/>
          <w:sz w:val="52"/>
          <w:szCs w:val="52"/>
        </w:rPr>
        <w:t xml:space="preserve">Sweep </w:t>
      </w:r>
    </w:p>
    <w:p w14:paraId="4326B5B4" w14:textId="792F2BEB" w:rsidR="00E9748D" w:rsidRPr="00262FEF" w:rsidRDefault="00AD6665" w:rsidP="00AD6665">
      <w:pPr>
        <w:pStyle w:val="Title"/>
        <w:spacing w:line="201" w:lineRule="auto"/>
        <w:rPr>
          <w:sz w:val="52"/>
          <w:szCs w:val="52"/>
        </w:rPr>
      </w:pPr>
      <w:r>
        <w:rPr>
          <w:color w:val="113658"/>
          <w:sz w:val="52"/>
          <w:szCs w:val="52"/>
        </w:rPr>
        <w:t xml:space="preserve">                  </w:t>
      </w:r>
      <w:r w:rsidR="00D86064" w:rsidRPr="00262FEF">
        <w:rPr>
          <w:color w:val="113658"/>
          <w:sz w:val="52"/>
          <w:szCs w:val="52"/>
        </w:rPr>
        <w:t>Rate List</w:t>
      </w:r>
    </w:p>
    <w:p w14:paraId="5136C2D5" w14:textId="77777777" w:rsidR="006F4451" w:rsidRDefault="006F4451" w:rsidP="00133C44">
      <w:pPr>
        <w:pStyle w:val="Heading1"/>
        <w:spacing w:before="257"/>
        <w:ind w:left="0"/>
        <w:rPr>
          <w:color w:val="113658"/>
        </w:rPr>
      </w:pPr>
    </w:p>
    <w:p w14:paraId="13E180FF" w14:textId="044EDC31" w:rsidR="00AC6B16" w:rsidRDefault="00D86064" w:rsidP="00670172">
      <w:pPr>
        <w:pStyle w:val="Heading1"/>
        <w:ind w:left="0"/>
        <w:rPr>
          <w:color w:val="113658"/>
          <w:spacing w:val="-2"/>
          <w:sz w:val="24"/>
          <w:szCs w:val="24"/>
        </w:rPr>
      </w:pPr>
      <w:r w:rsidRPr="006F4451">
        <w:rPr>
          <w:color w:val="113658"/>
          <w:sz w:val="24"/>
          <w:szCs w:val="24"/>
        </w:rPr>
        <w:t>Bank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Deposit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Sweep</w:t>
      </w:r>
      <w:r w:rsidRPr="006F4451">
        <w:rPr>
          <w:color w:val="113658"/>
          <w:spacing w:val="-14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Program</w:t>
      </w:r>
      <w:r w:rsidRPr="006F4451">
        <w:rPr>
          <w:color w:val="113658"/>
          <w:spacing w:val="-13"/>
          <w:sz w:val="24"/>
          <w:szCs w:val="24"/>
        </w:rPr>
        <w:t xml:space="preserve"> </w:t>
      </w:r>
      <w:r w:rsidRPr="006F4451">
        <w:rPr>
          <w:color w:val="113658"/>
          <w:spacing w:val="-2"/>
          <w:sz w:val="24"/>
          <w:szCs w:val="24"/>
        </w:rPr>
        <w:t>(BDSP)</w:t>
      </w:r>
    </w:p>
    <w:p w14:paraId="6D20FF97" w14:textId="308BA50D" w:rsidR="00165A3C" w:rsidRPr="00AC6B16" w:rsidRDefault="00165A3C" w:rsidP="00165A3C">
      <w:pPr>
        <w:pStyle w:val="Heading1"/>
        <w:ind w:left="0" w:firstLine="110"/>
        <w:rPr>
          <w:b w:val="0"/>
          <w:bCs w:val="0"/>
          <w:color w:val="000000" w:themeColor="text1"/>
          <w:sz w:val="20"/>
          <w:szCs w:val="20"/>
        </w:rPr>
      </w:pPr>
      <w:r w:rsidRPr="00AC6B16">
        <w:rPr>
          <w:b w:val="0"/>
          <w:bCs w:val="0"/>
          <w:color w:val="000000" w:themeColor="text1"/>
          <w:spacing w:val="-2"/>
          <w:sz w:val="20"/>
          <w:szCs w:val="20"/>
        </w:rPr>
        <w:t xml:space="preserve">Sweep Indicator </w:t>
      </w:r>
      <w:r w:rsidRPr="00670172">
        <w:rPr>
          <w:b w:val="0"/>
          <w:bCs w:val="0"/>
          <w:color w:val="000000" w:themeColor="text1"/>
          <w:spacing w:val="-2"/>
          <w:sz w:val="20"/>
          <w:szCs w:val="20"/>
        </w:rPr>
        <w:t>(AIGI &amp; IDPR) Current yield as of 1/6/2026</w:t>
      </w:r>
    </w:p>
    <w:p w14:paraId="22AA951B" w14:textId="77777777" w:rsidR="00E9748D" w:rsidRDefault="00E9748D">
      <w:pPr>
        <w:pStyle w:val="BodyText"/>
        <w:spacing w:before="1"/>
        <w:rPr>
          <w:sz w:val="14"/>
        </w:rPr>
      </w:pPr>
    </w:p>
    <w:tbl>
      <w:tblPr>
        <w:tblW w:w="0" w:type="auto"/>
        <w:tblInd w:w="122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5"/>
        <w:gridCol w:w="3475"/>
        <w:gridCol w:w="3349"/>
      </w:tblGrid>
      <w:tr w:rsidR="00E9748D" w14:paraId="78D962A0" w14:textId="77777777" w:rsidTr="00AD5269">
        <w:trPr>
          <w:trHeight w:val="551"/>
        </w:trPr>
        <w:tc>
          <w:tcPr>
            <w:tcW w:w="3425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0526EB3A" w14:textId="77777777" w:rsidR="00E9748D" w:rsidRPr="00470C91" w:rsidRDefault="00D86064">
            <w:pPr>
              <w:pStyle w:val="TableParagraph"/>
              <w:spacing w:before="149"/>
              <w:ind w:left="1460" w:right="1449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pacing w:val="-2"/>
                <w:sz w:val="20"/>
                <w:szCs w:val="20"/>
              </w:rPr>
              <w:t>Tiers</w:t>
            </w:r>
          </w:p>
        </w:tc>
        <w:tc>
          <w:tcPr>
            <w:tcW w:w="3475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411ACF4F" w14:textId="77777777" w:rsidR="00E9748D" w:rsidRPr="00470C91" w:rsidRDefault="00D86064">
            <w:pPr>
              <w:pStyle w:val="TableParagraph"/>
              <w:spacing w:before="149"/>
              <w:ind w:left="1003" w:right="995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pacing w:val="-2"/>
                <w:sz w:val="20"/>
                <w:szCs w:val="20"/>
              </w:rPr>
              <w:t>Deposit</w:t>
            </w:r>
            <w:r w:rsidRPr="00470C91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470C91">
              <w:rPr>
                <w:b/>
                <w:color w:val="FFFFFF"/>
                <w:spacing w:val="-2"/>
                <w:sz w:val="20"/>
                <w:szCs w:val="20"/>
              </w:rPr>
              <w:t>Range</w:t>
            </w:r>
          </w:p>
        </w:tc>
        <w:tc>
          <w:tcPr>
            <w:tcW w:w="3349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3C8FEF3A" w14:textId="77777777" w:rsidR="00E9748D" w:rsidRPr="00470C91" w:rsidRDefault="00D86064">
            <w:pPr>
              <w:pStyle w:val="TableParagraph"/>
              <w:spacing w:before="149"/>
              <w:ind w:left="620" w:right="614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pacing w:val="-4"/>
                <w:sz w:val="20"/>
                <w:szCs w:val="20"/>
              </w:rPr>
              <w:t>Rate</w:t>
            </w:r>
          </w:p>
        </w:tc>
      </w:tr>
      <w:tr w:rsidR="00E9748D" w14:paraId="580E230F" w14:textId="77777777">
        <w:trPr>
          <w:trHeight w:val="409"/>
        </w:trPr>
        <w:tc>
          <w:tcPr>
            <w:tcW w:w="3425" w:type="dxa"/>
            <w:tcBorders>
              <w:left w:val="single" w:sz="4" w:space="0" w:color="17525D"/>
            </w:tcBorders>
          </w:tcPr>
          <w:p w14:paraId="46A99D2B" w14:textId="77777777" w:rsidR="00E9748D" w:rsidRDefault="00D86064">
            <w:pPr>
              <w:pStyle w:val="TableParagraph"/>
              <w:ind w:left="10"/>
              <w:rPr>
                <w:sz w:val="20"/>
              </w:rPr>
            </w:pPr>
            <w:r>
              <w:rPr>
                <w:color w:val="2C2E30"/>
                <w:sz w:val="20"/>
              </w:rPr>
              <w:t>1</w:t>
            </w:r>
          </w:p>
        </w:tc>
        <w:tc>
          <w:tcPr>
            <w:tcW w:w="3475" w:type="dxa"/>
          </w:tcPr>
          <w:p w14:paraId="73FF5D00" w14:textId="77777777" w:rsidR="00E9748D" w:rsidRDefault="00D86064">
            <w:pPr>
              <w:pStyle w:val="TableParagraph"/>
              <w:ind w:right="635"/>
              <w:rPr>
                <w:sz w:val="20"/>
              </w:rPr>
            </w:pPr>
            <w:r>
              <w:rPr>
                <w:color w:val="2C2E30"/>
                <w:sz w:val="20"/>
              </w:rPr>
              <w:t>$0 –</w:t>
            </w:r>
            <w:r>
              <w:rPr>
                <w:color w:val="2C2E30"/>
                <w:spacing w:val="-1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$24,999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269FB5CC" w14:textId="62D80F78" w:rsidR="00E9748D" w:rsidRDefault="00D86064">
            <w:pPr>
              <w:pStyle w:val="TableParagraph"/>
              <w:ind w:left="1338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96575F">
              <w:rPr>
                <w:color w:val="2C2E30"/>
                <w:spacing w:val="-4"/>
                <w:sz w:val="20"/>
              </w:rPr>
              <w:t>0</w:t>
            </w:r>
            <w:r w:rsidR="00494887">
              <w:rPr>
                <w:color w:val="2C2E30"/>
                <w:spacing w:val="-4"/>
                <w:sz w:val="20"/>
              </w:rPr>
              <w:t>1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2CEDB961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3163C905" w14:textId="77777777" w:rsidR="00E9748D" w:rsidRDefault="00D86064">
            <w:pPr>
              <w:pStyle w:val="TableParagraph"/>
              <w:ind w:left="10"/>
              <w:rPr>
                <w:sz w:val="20"/>
              </w:rPr>
            </w:pPr>
            <w:r>
              <w:rPr>
                <w:color w:val="2C2E30"/>
                <w:sz w:val="20"/>
              </w:rPr>
              <w:t>2</w:t>
            </w:r>
          </w:p>
        </w:tc>
        <w:tc>
          <w:tcPr>
            <w:tcW w:w="3475" w:type="dxa"/>
          </w:tcPr>
          <w:p w14:paraId="5C23A519" w14:textId="77777777" w:rsidR="00E9748D" w:rsidRDefault="00D86064">
            <w:pPr>
              <w:pStyle w:val="TableParagraph"/>
              <w:ind w:right="633"/>
              <w:rPr>
                <w:sz w:val="20"/>
              </w:rPr>
            </w:pPr>
            <w:r>
              <w:rPr>
                <w:color w:val="2C2E30"/>
                <w:sz w:val="20"/>
              </w:rPr>
              <w:t xml:space="preserve">$25,000 – </w:t>
            </w:r>
            <w:r>
              <w:rPr>
                <w:color w:val="2C2E30"/>
                <w:spacing w:val="-2"/>
                <w:sz w:val="20"/>
              </w:rPr>
              <w:t>$49,999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5E819994" w14:textId="59B98F94" w:rsidR="00E9748D" w:rsidRDefault="00D86064">
            <w:pPr>
              <w:pStyle w:val="TableParagraph"/>
              <w:ind w:left="1338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96575F">
              <w:rPr>
                <w:color w:val="2C2E30"/>
                <w:spacing w:val="-4"/>
                <w:sz w:val="20"/>
              </w:rPr>
              <w:t>0</w:t>
            </w:r>
            <w:r w:rsidR="00494887">
              <w:rPr>
                <w:color w:val="2C2E30"/>
                <w:spacing w:val="-4"/>
                <w:sz w:val="20"/>
              </w:rPr>
              <w:t>3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427693EF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36ED8652" w14:textId="77777777" w:rsidR="00E9748D" w:rsidRDefault="00D86064">
            <w:pPr>
              <w:pStyle w:val="TableParagraph"/>
              <w:ind w:left="9"/>
              <w:rPr>
                <w:sz w:val="20"/>
              </w:rPr>
            </w:pPr>
            <w:r>
              <w:rPr>
                <w:color w:val="2C2E30"/>
                <w:sz w:val="20"/>
              </w:rPr>
              <w:t>3</w:t>
            </w:r>
          </w:p>
        </w:tc>
        <w:tc>
          <w:tcPr>
            <w:tcW w:w="3475" w:type="dxa"/>
          </w:tcPr>
          <w:p w14:paraId="5146C796" w14:textId="77777777" w:rsidR="00E9748D" w:rsidRDefault="00D86064">
            <w:pPr>
              <w:pStyle w:val="TableParagraph"/>
              <w:ind w:right="633"/>
              <w:rPr>
                <w:sz w:val="20"/>
              </w:rPr>
            </w:pPr>
            <w:r>
              <w:rPr>
                <w:color w:val="2C2E30"/>
                <w:sz w:val="20"/>
              </w:rPr>
              <w:t>$50,000</w:t>
            </w:r>
            <w:r>
              <w:rPr>
                <w:color w:val="2C2E30"/>
                <w:spacing w:val="-4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–</w:t>
            </w:r>
            <w:r>
              <w:rPr>
                <w:color w:val="2C2E30"/>
                <w:spacing w:val="-3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$99,999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2363B07E" w14:textId="500E713C" w:rsidR="00E9748D" w:rsidRDefault="00D86064">
            <w:pPr>
              <w:pStyle w:val="TableParagraph"/>
              <w:ind w:left="1338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96575F">
              <w:rPr>
                <w:color w:val="2C2E30"/>
                <w:spacing w:val="-4"/>
                <w:sz w:val="20"/>
              </w:rPr>
              <w:t>0</w:t>
            </w:r>
            <w:r w:rsidR="00494887">
              <w:rPr>
                <w:color w:val="2C2E30"/>
                <w:spacing w:val="-4"/>
                <w:sz w:val="20"/>
              </w:rPr>
              <w:t>3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6DD8BC45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5A162093" w14:textId="77777777" w:rsidR="00E9748D" w:rsidRDefault="00D86064">
            <w:pPr>
              <w:pStyle w:val="TableParagraph"/>
              <w:ind w:left="9"/>
              <w:rPr>
                <w:sz w:val="20"/>
              </w:rPr>
            </w:pPr>
            <w:r>
              <w:rPr>
                <w:color w:val="2C2E30"/>
                <w:sz w:val="20"/>
              </w:rPr>
              <w:t>4</w:t>
            </w:r>
          </w:p>
        </w:tc>
        <w:tc>
          <w:tcPr>
            <w:tcW w:w="3475" w:type="dxa"/>
          </w:tcPr>
          <w:p w14:paraId="1DEC7EB2" w14:textId="77777777" w:rsidR="00E9748D" w:rsidRDefault="00D86064">
            <w:pPr>
              <w:pStyle w:val="TableParagraph"/>
              <w:ind w:right="633"/>
              <w:rPr>
                <w:sz w:val="20"/>
              </w:rPr>
            </w:pPr>
            <w:r>
              <w:rPr>
                <w:color w:val="2C2E30"/>
                <w:sz w:val="20"/>
              </w:rPr>
              <w:t>$100,000</w:t>
            </w:r>
            <w:r>
              <w:rPr>
                <w:color w:val="2C2E30"/>
                <w:spacing w:val="-4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–</w:t>
            </w:r>
            <w:r>
              <w:rPr>
                <w:color w:val="2C2E30"/>
                <w:spacing w:val="-3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$249,999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14C53D98" w14:textId="02B99ECA" w:rsidR="00E9748D" w:rsidRDefault="00D86064">
            <w:pPr>
              <w:pStyle w:val="TableParagraph"/>
              <w:ind w:left="1338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96575F">
              <w:rPr>
                <w:color w:val="2C2E30"/>
                <w:spacing w:val="-4"/>
                <w:sz w:val="20"/>
              </w:rPr>
              <w:t>0</w:t>
            </w:r>
            <w:r w:rsidR="00494887">
              <w:rPr>
                <w:color w:val="2C2E30"/>
                <w:spacing w:val="-4"/>
                <w:sz w:val="20"/>
              </w:rPr>
              <w:t>3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51EF55FB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2EBB8AEB" w14:textId="77777777" w:rsidR="00E9748D" w:rsidRDefault="00D86064">
            <w:pPr>
              <w:pStyle w:val="TableParagraph"/>
              <w:ind w:left="9"/>
              <w:rPr>
                <w:sz w:val="20"/>
              </w:rPr>
            </w:pPr>
            <w:r>
              <w:rPr>
                <w:color w:val="2C2E30"/>
                <w:sz w:val="20"/>
              </w:rPr>
              <w:t>5</w:t>
            </w:r>
          </w:p>
        </w:tc>
        <w:tc>
          <w:tcPr>
            <w:tcW w:w="3475" w:type="dxa"/>
          </w:tcPr>
          <w:p w14:paraId="6BCD29EB" w14:textId="77777777" w:rsidR="00E9748D" w:rsidRDefault="00D86064">
            <w:pPr>
              <w:pStyle w:val="TableParagraph"/>
              <w:ind w:right="633"/>
              <w:rPr>
                <w:sz w:val="20"/>
              </w:rPr>
            </w:pPr>
            <w:r>
              <w:rPr>
                <w:color w:val="2C2E30"/>
                <w:sz w:val="20"/>
              </w:rPr>
              <w:t>$250,000</w:t>
            </w:r>
            <w:r>
              <w:rPr>
                <w:color w:val="2C2E30"/>
                <w:spacing w:val="-6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–</w:t>
            </w:r>
            <w:r>
              <w:rPr>
                <w:color w:val="2C2E30"/>
                <w:spacing w:val="-3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$499,999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38CE0054" w14:textId="2FA5C0D0" w:rsidR="00E9748D" w:rsidRDefault="00D86064">
            <w:pPr>
              <w:pStyle w:val="TableParagraph"/>
              <w:ind w:left="1337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494887">
              <w:rPr>
                <w:color w:val="2C2E30"/>
                <w:spacing w:val="-4"/>
                <w:sz w:val="20"/>
              </w:rPr>
              <w:t>05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7EBB841A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65C25240" w14:textId="77777777" w:rsidR="00E9748D" w:rsidRDefault="00D86064">
            <w:pPr>
              <w:pStyle w:val="TableParagraph"/>
              <w:ind w:left="9"/>
              <w:rPr>
                <w:sz w:val="20"/>
              </w:rPr>
            </w:pPr>
            <w:r>
              <w:rPr>
                <w:color w:val="2C2E30"/>
                <w:sz w:val="20"/>
              </w:rPr>
              <w:t>6</w:t>
            </w:r>
          </w:p>
        </w:tc>
        <w:tc>
          <w:tcPr>
            <w:tcW w:w="3475" w:type="dxa"/>
          </w:tcPr>
          <w:p w14:paraId="6ADA59CF" w14:textId="77777777" w:rsidR="00E9748D" w:rsidRDefault="00D86064">
            <w:pPr>
              <w:pStyle w:val="TableParagraph"/>
              <w:ind w:right="634"/>
              <w:rPr>
                <w:sz w:val="20"/>
              </w:rPr>
            </w:pPr>
            <w:r>
              <w:rPr>
                <w:color w:val="2C2E30"/>
                <w:sz w:val="20"/>
              </w:rPr>
              <w:t>$500,000</w:t>
            </w:r>
            <w:r>
              <w:rPr>
                <w:color w:val="2C2E30"/>
                <w:spacing w:val="-6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–</w:t>
            </w:r>
            <w:r>
              <w:rPr>
                <w:color w:val="2C2E30"/>
                <w:spacing w:val="-3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$749,999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55B43E01" w14:textId="3BE680CE" w:rsidR="00E9748D" w:rsidRDefault="00D86064">
            <w:pPr>
              <w:pStyle w:val="TableParagraph"/>
              <w:ind w:left="1337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494887">
              <w:rPr>
                <w:color w:val="2C2E30"/>
                <w:spacing w:val="-4"/>
                <w:sz w:val="20"/>
              </w:rPr>
              <w:t>15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6DE3F078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7AC7CE2E" w14:textId="77777777" w:rsidR="00E9748D" w:rsidRDefault="00D86064">
            <w:pPr>
              <w:pStyle w:val="TableParagraph"/>
              <w:ind w:left="8"/>
              <w:rPr>
                <w:sz w:val="20"/>
              </w:rPr>
            </w:pPr>
            <w:r>
              <w:rPr>
                <w:color w:val="2C2E30"/>
                <w:sz w:val="20"/>
              </w:rPr>
              <w:t>7</w:t>
            </w:r>
          </w:p>
        </w:tc>
        <w:tc>
          <w:tcPr>
            <w:tcW w:w="3475" w:type="dxa"/>
          </w:tcPr>
          <w:p w14:paraId="5E3DBAE9" w14:textId="77777777" w:rsidR="00E9748D" w:rsidRDefault="00D86064">
            <w:pPr>
              <w:pStyle w:val="TableParagraph"/>
              <w:ind w:right="634"/>
              <w:rPr>
                <w:sz w:val="20"/>
              </w:rPr>
            </w:pPr>
            <w:r>
              <w:rPr>
                <w:color w:val="2C2E30"/>
                <w:sz w:val="20"/>
              </w:rPr>
              <w:t>$750,000</w:t>
            </w:r>
            <w:r>
              <w:rPr>
                <w:color w:val="2C2E30"/>
                <w:spacing w:val="-6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–</w:t>
            </w:r>
            <w:r>
              <w:rPr>
                <w:color w:val="2C2E30"/>
                <w:spacing w:val="-3"/>
                <w:sz w:val="20"/>
              </w:rPr>
              <w:t xml:space="preserve"> </w:t>
            </w:r>
            <w:r>
              <w:rPr>
                <w:color w:val="2C2E30"/>
                <w:spacing w:val="-2"/>
                <w:sz w:val="20"/>
              </w:rPr>
              <w:t>$999,999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013874C2" w14:textId="53F4DC28" w:rsidR="00E9748D" w:rsidRDefault="00D86064">
            <w:pPr>
              <w:pStyle w:val="TableParagraph"/>
              <w:spacing w:before="88"/>
              <w:ind w:left="1345" w:right="1329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</w:t>
            </w:r>
            <w:r w:rsidR="00494887">
              <w:rPr>
                <w:color w:val="2C2E30"/>
                <w:spacing w:val="-4"/>
                <w:sz w:val="20"/>
              </w:rPr>
              <w:t>40</w:t>
            </w:r>
            <w:r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2852C90F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5C8D1C10" w14:textId="77777777" w:rsidR="00E9748D" w:rsidRDefault="00D86064">
            <w:pPr>
              <w:pStyle w:val="TableParagraph"/>
              <w:ind w:left="8"/>
              <w:rPr>
                <w:sz w:val="20"/>
              </w:rPr>
            </w:pPr>
            <w:r>
              <w:rPr>
                <w:color w:val="2C2E30"/>
                <w:sz w:val="20"/>
              </w:rPr>
              <w:t>8</w:t>
            </w:r>
          </w:p>
        </w:tc>
        <w:tc>
          <w:tcPr>
            <w:tcW w:w="3475" w:type="dxa"/>
          </w:tcPr>
          <w:p w14:paraId="2C7A698E" w14:textId="77777777" w:rsidR="00E9748D" w:rsidRDefault="00D86064">
            <w:pPr>
              <w:pStyle w:val="TableParagraph"/>
              <w:ind w:right="636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$1,000,000 – $1,499,999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6F303AF5" w14:textId="7B456EDD" w:rsidR="00E9748D" w:rsidRDefault="0096575F">
            <w:pPr>
              <w:pStyle w:val="TableParagraph"/>
              <w:spacing w:before="88"/>
              <w:ind w:left="1347" w:right="1323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>.75</w:t>
            </w:r>
            <w:r w:rsidR="00D86064">
              <w:rPr>
                <w:color w:val="2C2E30"/>
                <w:spacing w:val="-4"/>
                <w:sz w:val="20"/>
              </w:rPr>
              <w:t>%</w:t>
            </w:r>
          </w:p>
        </w:tc>
      </w:tr>
      <w:tr w:rsidR="00E9748D" w14:paraId="0A098770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</w:tcBorders>
          </w:tcPr>
          <w:p w14:paraId="0AF80843" w14:textId="77777777" w:rsidR="00E9748D" w:rsidRDefault="00D86064">
            <w:pPr>
              <w:pStyle w:val="TableParagraph"/>
              <w:ind w:left="8"/>
              <w:rPr>
                <w:sz w:val="20"/>
              </w:rPr>
            </w:pPr>
            <w:r>
              <w:rPr>
                <w:color w:val="2C2E30"/>
                <w:sz w:val="20"/>
              </w:rPr>
              <w:t>9</w:t>
            </w:r>
          </w:p>
        </w:tc>
        <w:tc>
          <w:tcPr>
            <w:tcW w:w="3475" w:type="dxa"/>
          </w:tcPr>
          <w:p w14:paraId="6861B493" w14:textId="77777777" w:rsidR="00E9748D" w:rsidRDefault="00D86064">
            <w:pPr>
              <w:pStyle w:val="TableParagraph"/>
              <w:ind w:right="636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$1,500,000 – $4,999,999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07595B20" w14:textId="069E0559" w:rsidR="00E9748D" w:rsidRDefault="00494887">
            <w:pPr>
              <w:pStyle w:val="TableParagraph"/>
              <w:spacing w:before="88"/>
              <w:ind w:left="1343" w:right="1329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.85</w:t>
            </w:r>
            <w:r w:rsidR="00D86064">
              <w:rPr>
                <w:color w:val="2C2E30"/>
                <w:spacing w:val="-2"/>
                <w:sz w:val="20"/>
              </w:rPr>
              <w:t>%</w:t>
            </w:r>
          </w:p>
        </w:tc>
      </w:tr>
      <w:tr w:rsidR="00E9748D" w14:paraId="1CA2E829" w14:textId="77777777">
        <w:trPr>
          <w:trHeight w:val="410"/>
        </w:trPr>
        <w:tc>
          <w:tcPr>
            <w:tcW w:w="3425" w:type="dxa"/>
            <w:tcBorders>
              <w:left w:val="single" w:sz="4" w:space="0" w:color="17525D"/>
              <w:bottom w:val="single" w:sz="4" w:space="0" w:color="17525D"/>
            </w:tcBorders>
          </w:tcPr>
          <w:p w14:paraId="2A9D78A1" w14:textId="77777777" w:rsidR="00E9748D" w:rsidRDefault="00D86064">
            <w:pPr>
              <w:pStyle w:val="TableParagraph"/>
              <w:ind w:left="1598" w:right="1592"/>
              <w:rPr>
                <w:sz w:val="20"/>
              </w:rPr>
            </w:pPr>
            <w:r>
              <w:rPr>
                <w:color w:val="2C2E30"/>
                <w:spacing w:val="-5"/>
                <w:sz w:val="20"/>
              </w:rPr>
              <w:t>10</w:t>
            </w:r>
          </w:p>
        </w:tc>
        <w:tc>
          <w:tcPr>
            <w:tcW w:w="3475" w:type="dxa"/>
            <w:tcBorders>
              <w:bottom w:val="single" w:sz="4" w:space="0" w:color="17525D"/>
            </w:tcBorders>
          </w:tcPr>
          <w:p w14:paraId="76298104" w14:textId="77777777" w:rsidR="00E9748D" w:rsidRDefault="00D86064">
            <w:pPr>
              <w:pStyle w:val="TableParagraph"/>
              <w:ind w:right="636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 xml:space="preserve">$5,000,000 – </w:t>
            </w:r>
            <w:r>
              <w:rPr>
                <w:color w:val="2C2E30"/>
                <w:spacing w:val="-5"/>
                <w:sz w:val="20"/>
              </w:rPr>
              <w:t>MAX</w:t>
            </w:r>
          </w:p>
        </w:tc>
        <w:tc>
          <w:tcPr>
            <w:tcW w:w="3349" w:type="dxa"/>
            <w:tcBorders>
              <w:bottom w:val="single" w:sz="4" w:space="0" w:color="17525D"/>
              <w:right w:val="single" w:sz="4" w:space="0" w:color="17525D"/>
            </w:tcBorders>
          </w:tcPr>
          <w:p w14:paraId="31477010" w14:textId="7B0ED7DF" w:rsidR="00E9748D" w:rsidRDefault="001E3BBA">
            <w:pPr>
              <w:pStyle w:val="TableParagraph"/>
              <w:spacing w:before="88"/>
              <w:ind w:left="1347" w:right="1277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1.</w:t>
            </w:r>
            <w:r w:rsidR="00494887">
              <w:rPr>
                <w:color w:val="2C2E30"/>
                <w:spacing w:val="-2"/>
                <w:sz w:val="20"/>
              </w:rPr>
              <w:t>25</w:t>
            </w:r>
            <w:r w:rsidR="00D86064">
              <w:rPr>
                <w:color w:val="2C2E30"/>
                <w:spacing w:val="-2"/>
                <w:sz w:val="20"/>
              </w:rPr>
              <w:t>%</w:t>
            </w:r>
          </w:p>
        </w:tc>
      </w:tr>
    </w:tbl>
    <w:p w14:paraId="4B3EA850" w14:textId="77777777" w:rsidR="00F0205F" w:rsidRDefault="00F0205F" w:rsidP="00133C44">
      <w:pPr>
        <w:pStyle w:val="Heading1"/>
        <w:ind w:left="0"/>
        <w:rPr>
          <w:color w:val="113658"/>
        </w:rPr>
      </w:pPr>
    </w:p>
    <w:p w14:paraId="416C0D96" w14:textId="076866DC" w:rsidR="00E9748D" w:rsidRDefault="00D86064" w:rsidP="00133C44">
      <w:pPr>
        <w:pStyle w:val="Heading1"/>
        <w:ind w:left="0"/>
        <w:rPr>
          <w:color w:val="113658"/>
          <w:spacing w:val="-2"/>
          <w:sz w:val="24"/>
          <w:szCs w:val="24"/>
        </w:rPr>
      </w:pPr>
      <w:r w:rsidRPr="006F4451">
        <w:rPr>
          <w:color w:val="113658"/>
          <w:sz w:val="24"/>
          <w:szCs w:val="24"/>
        </w:rPr>
        <w:t>Insured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Cash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Account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z w:val="24"/>
          <w:szCs w:val="24"/>
        </w:rPr>
        <w:t>Program</w:t>
      </w:r>
      <w:r w:rsidRPr="006F4451">
        <w:rPr>
          <w:color w:val="113658"/>
          <w:spacing w:val="-15"/>
          <w:sz w:val="24"/>
          <w:szCs w:val="24"/>
        </w:rPr>
        <w:t xml:space="preserve"> </w:t>
      </w:r>
      <w:r w:rsidRPr="006F4451">
        <w:rPr>
          <w:color w:val="113658"/>
          <w:spacing w:val="-2"/>
          <w:sz w:val="24"/>
          <w:szCs w:val="24"/>
        </w:rPr>
        <w:t>(ICAP)</w:t>
      </w:r>
    </w:p>
    <w:p w14:paraId="1546F1DE" w14:textId="6AB2975F" w:rsidR="00EC6F78" w:rsidRPr="00AC6B16" w:rsidRDefault="00EC6F78" w:rsidP="00AC6B16">
      <w:pPr>
        <w:pStyle w:val="Heading1"/>
        <w:ind w:left="0" w:firstLine="110"/>
        <w:rPr>
          <w:b w:val="0"/>
          <w:bCs w:val="0"/>
          <w:color w:val="000000" w:themeColor="text1"/>
          <w:sz w:val="20"/>
          <w:szCs w:val="20"/>
        </w:rPr>
      </w:pPr>
      <w:r w:rsidRPr="00AC6B16">
        <w:rPr>
          <w:b w:val="0"/>
          <w:bCs w:val="0"/>
          <w:color w:val="000000" w:themeColor="text1"/>
          <w:spacing w:val="-2"/>
          <w:sz w:val="20"/>
          <w:szCs w:val="20"/>
        </w:rPr>
        <w:t>Sweep Indicator (BDSL) Current yield as of 5/</w:t>
      </w:r>
      <w:r w:rsidR="00AC6B16" w:rsidRPr="00AC6B16">
        <w:rPr>
          <w:b w:val="0"/>
          <w:bCs w:val="0"/>
          <w:color w:val="000000" w:themeColor="text1"/>
          <w:spacing w:val="-2"/>
          <w:sz w:val="20"/>
          <w:szCs w:val="20"/>
        </w:rPr>
        <w:t>18/2026</w:t>
      </w:r>
    </w:p>
    <w:p w14:paraId="0AC253F8" w14:textId="77777777" w:rsidR="00E9748D" w:rsidRDefault="00E9748D">
      <w:pPr>
        <w:pStyle w:val="BodyText"/>
        <w:spacing w:before="1"/>
        <w:rPr>
          <w:sz w:val="14"/>
        </w:rPr>
      </w:pPr>
    </w:p>
    <w:tbl>
      <w:tblPr>
        <w:tblW w:w="0" w:type="auto"/>
        <w:tblInd w:w="122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5"/>
        <w:gridCol w:w="3475"/>
        <w:gridCol w:w="3349"/>
      </w:tblGrid>
      <w:tr w:rsidR="00E9748D" w14:paraId="1E89A1AE" w14:textId="77777777" w:rsidTr="00AD5269">
        <w:trPr>
          <w:trHeight w:val="551"/>
        </w:trPr>
        <w:tc>
          <w:tcPr>
            <w:tcW w:w="3425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5C1C101B" w14:textId="77777777" w:rsidR="00E9748D" w:rsidRPr="00470C91" w:rsidRDefault="00D86064">
            <w:pPr>
              <w:pStyle w:val="TableParagraph"/>
              <w:spacing w:before="149"/>
              <w:ind w:left="891"/>
              <w:jc w:val="left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pacing w:val="-4"/>
                <w:sz w:val="20"/>
                <w:szCs w:val="20"/>
              </w:rPr>
              <w:t xml:space="preserve">Eligible </w:t>
            </w:r>
            <w:r w:rsidRPr="00470C91">
              <w:rPr>
                <w:b/>
                <w:color w:val="FFFFFF"/>
                <w:spacing w:val="-2"/>
                <w:sz w:val="20"/>
                <w:szCs w:val="20"/>
              </w:rPr>
              <w:t>Accounts</w:t>
            </w:r>
          </w:p>
        </w:tc>
        <w:tc>
          <w:tcPr>
            <w:tcW w:w="3475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3BA2D2CC" w14:textId="77777777" w:rsidR="00E9748D" w:rsidRPr="00470C91" w:rsidRDefault="00D86064">
            <w:pPr>
              <w:pStyle w:val="TableParagraph"/>
              <w:spacing w:before="149"/>
              <w:ind w:left="1003" w:right="995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pacing w:val="-4"/>
                <w:sz w:val="20"/>
                <w:szCs w:val="20"/>
              </w:rPr>
              <w:t>Rate</w:t>
            </w:r>
          </w:p>
        </w:tc>
        <w:tc>
          <w:tcPr>
            <w:tcW w:w="3349" w:type="dxa"/>
            <w:tcBorders>
              <w:top w:val="nil"/>
              <w:left w:val="nil"/>
              <w:right w:val="nil"/>
            </w:tcBorders>
            <w:shd w:val="clear" w:color="auto" w:fill="113658"/>
          </w:tcPr>
          <w:p w14:paraId="707DA0AB" w14:textId="77777777" w:rsidR="00E9748D" w:rsidRPr="00470C91" w:rsidRDefault="00D86064">
            <w:pPr>
              <w:pStyle w:val="TableParagraph"/>
              <w:spacing w:before="149"/>
              <w:ind w:left="620" w:right="614"/>
              <w:rPr>
                <w:b/>
                <w:sz w:val="20"/>
                <w:szCs w:val="20"/>
              </w:rPr>
            </w:pPr>
            <w:r w:rsidRPr="00470C91">
              <w:rPr>
                <w:b/>
                <w:color w:val="FFFFFF"/>
                <w:sz w:val="20"/>
                <w:szCs w:val="20"/>
              </w:rPr>
              <w:t xml:space="preserve">Monthly Per </w:t>
            </w:r>
            <w:r w:rsidRPr="00470C91">
              <w:rPr>
                <w:b/>
                <w:color w:val="FFFFFF"/>
                <w:spacing w:val="-2"/>
                <w:sz w:val="20"/>
                <w:szCs w:val="20"/>
              </w:rPr>
              <w:t>Account</w:t>
            </w:r>
          </w:p>
        </w:tc>
      </w:tr>
      <w:tr w:rsidR="00E9748D" w14:paraId="7D9530E1" w14:textId="77777777" w:rsidTr="00A379B4">
        <w:trPr>
          <w:trHeight w:val="721"/>
        </w:trPr>
        <w:tc>
          <w:tcPr>
            <w:tcW w:w="3425" w:type="dxa"/>
            <w:tcBorders>
              <w:left w:val="single" w:sz="4" w:space="0" w:color="17525D"/>
            </w:tcBorders>
          </w:tcPr>
          <w:p w14:paraId="210C56DF" w14:textId="2A07F859" w:rsidR="00E9748D" w:rsidRDefault="00D86064">
            <w:pPr>
              <w:pStyle w:val="TableParagraph"/>
              <w:spacing w:before="131" w:line="228" w:lineRule="auto"/>
              <w:ind w:left="1107" w:right="18" w:hanging="754"/>
              <w:jc w:val="left"/>
              <w:rPr>
                <w:sz w:val="20"/>
              </w:rPr>
            </w:pPr>
            <w:r>
              <w:rPr>
                <w:color w:val="2C2E30"/>
                <w:spacing w:val="-4"/>
                <w:sz w:val="20"/>
              </w:rPr>
              <w:t xml:space="preserve">Investment Advisory/fee-based </w:t>
            </w:r>
            <w:r>
              <w:rPr>
                <w:color w:val="2C2E30"/>
                <w:sz w:val="20"/>
              </w:rPr>
              <w:t>IRAs</w:t>
            </w:r>
            <w:r>
              <w:rPr>
                <w:color w:val="2C2E30"/>
                <w:spacing w:val="-1"/>
                <w:sz w:val="20"/>
              </w:rPr>
              <w:t xml:space="preserve"> </w:t>
            </w:r>
            <w:r>
              <w:rPr>
                <w:color w:val="2C2E30"/>
                <w:sz w:val="20"/>
              </w:rPr>
              <w:t>accounts</w:t>
            </w:r>
          </w:p>
        </w:tc>
        <w:tc>
          <w:tcPr>
            <w:tcW w:w="3475" w:type="dxa"/>
          </w:tcPr>
          <w:p w14:paraId="716D6780" w14:textId="77777777" w:rsidR="00E9748D" w:rsidRDefault="00E9748D">
            <w:pPr>
              <w:pStyle w:val="TableParagraph"/>
              <w:spacing w:before="5"/>
              <w:ind w:left="0"/>
              <w:jc w:val="left"/>
              <w:rPr>
                <w:sz w:val="19"/>
              </w:rPr>
            </w:pPr>
          </w:p>
          <w:p w14:paraId="0D288613" w14:textId="6DB50AD8" w:rsidR="00E9748D" w:rsidRDefault="007B2A17">
            <w:pPr>
              <w:pStyle w:val="TableParagraph"/>
              <w:spacing w:before="0"/>
              <w:ind w:right="626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0</w:t>
            </w:r>
            <w:r w:rsidR="00023A7E">
              <w:rPr>
                <w:color w:val="2C2E30"/>
                <w:spacing w:val="-2"/>
                <w:sz w:val="20"/>
              </w:rPr>
              <w:t>.</w:t>
            </w:r>
            <w:r w:rsidR="007A574A">
              <w:rPr>
                <w:color w:val="2C2E30"/>
                <w:spacing w:val="-2"/>
                <w:sz w:val="20"/>
              </w:rPr>
              <w:t>21</w:t>
            </w:r>
            <w:r w:rsidR="00D86064">
              <w:rPr>
                <w:color w:val="2C2E30"/>
                <w:spacing w:val="-2"/>
                <w:sz w:val="20"/>
              </w:rPr>
              <w:t>%</w:t>
            </w:r>
          </w:p>
        </w:tc>
        <w:tc>
          <w:tcPr>
            <w:tcW w:w="3349" w:type="dxa"/>
            <w:tcBorders>
              <w:right w:val="single" w:sz="4" w:space="0" w:color="17525D"/>
            </w:tcBorders>
          </w:tcPr>
          <w:p w14:paraId="66AC4205" w14:textId="77777777" w:rsidR="00E9748D" w:rsidRDefault="00E9748D">
            <w:pPr>
              <w:pStyle w:val="TableParagraph"/>
              <w:spacing w:before="5"/>
              <w:ind w:left="0"/>
              <w:jc w:val="left"/>
              <w:rPr>
                <w:sz w:val="19"/>
              </w:rPr>
            </w:pPr>
          </w:p>
          <w:p w14:paraId="796D9FB7" w14:textId="442DA037" w:rsidR="00E9748D" w:rsidRDefault="00D86064">
            <w:pPr>
              <w:pStyle w:val="TableParagraph"/>
              <w:spacing w:before="0"/>
              <w:ind w:left="1313" w:right="1329"/>
              <w:rPr>
                <w:sz w:val="20"/>
              </w:rPr>
            </w:pPr>
            <w:r>
              <w:rPr>
                <w:color w:val="2C2E30"/>
                <w:spacing w:val="-2"/>
                <w:sz w:val="20"/>
              </w:rPr>
              <w:t>$</w:t>
            </w:r>
            <w:r w:rsidR="00494887">
              <w:rPr>
                <w:color w:val="2C2E30"/>
                <w:spacing w:val="-2"/>
                <w:sz w:val="20"/>
              </w:rPr>
              <w:t>19.75</w:t>
            </w:r>
          </w:p>
        </w:tc>
      </w:tr>
    </w:tbl>
    <w:p w14:paraId="5F811C40" w14:textId="264B4716" w:rsidR="00E9748D" w:rsidRDefault="00D86064" w:rsidP="007B7F2F">
      <w:pPr>
        <w:pStyle w:val="BodyText"/>
        <w:ind w:left="188"/>
        <w:rPr>
          <w:color w:val="231F20"/>
        </w:rPr>
      </w:pPr>
      <w:r>
        <w:rPr>
          <w:color w:val="231F20"/>
        </w:rPr>
        <w:t xml:space="preserve">* </w:t>
      </w:r>
      <w:r w:rsidR="0011473A" w:rsidRPr="0011473A">
        <w:rPr>
          <w:color w:val="231F20"/>
        </w:rPr>
        <w:t>Rate is net of monthly account fee. The monthly account fee is anticipated to be paid by participating Program Banks.</w:t>
      </w:r>
    </w:p>
    <w:p w14:paraId="04725D8D" w14:textId="77777777" w:rsidR="00920A5F" w:rsidRPr="0011473A" w:rsidRDefault="00920A5F" w:rsidP="007B7F2F">
      <w:pPr>
        <w:pStyle w:val="BodyText"/>
        <w:rPr>
          <w:color w:val="231F20"/>
        </w:rPr>
      </w:pPr>
    </w:p>
    <w:p w14:paraId="07D38D52" w14:textId="77777777" w:rsidR="003305D9" w:rsidRPr="00AE261A" w:rsidRDefault="003305D9" w:rsidP="007B7F2F">
      <w:pPr>
        <w:pStyle w:val="BodyText"/>
        <w:tabs>
          <w:tab w:val="left" w:pos="9300"/>
        </w:tabs>
        <w:rPr>
          <w:color w:val="231F20"/>
          <w:sz w:val="15"/>
          <w:szCs w:val="15"/>
        </w:rPr>
      </w:pPr>
      <w:r w:rsidRPr="00AE261A">
        <w:rPr>
          <w:color w:val="000000" w:themeColor="text1"/>
          <w:sz w:val="15"/>
          <w:szCs w:val="15"/>
        </w:rPr>
        <w:t xml:space="preserve">Securities and advisory services offered through Copper Financial Network, </w:t>
      </w:r>
      <w:proofErr w:type="gramStart"/>
      <w:r w:rsidRPr="00AE261A">
        <w:rPr>
          <w:color w:val="000000" w:themeColor="text1"/>
          <w:sz w:val="15"/>
          <w:szCs w:val="15"/>
        </w:rPr>
        <w:t>LLC (“</w:t>
      </w:r>
      <w:proofErr w:type="gramEnd"/>
      <w:r w:rsidRPr="00AE261A">
        <w:rPr>
          <w:color w:val="000000" w:themeColor="text1"/>
          <w:sz w:val="15"/>
          <w:szCs w:val="15"/>
        </w:rPr>
        <w:t xml:space="preserve">Copper </w:t>
      </w:r>
      <w:proofErr w:type="gramStart"/>
      <w:r w:rsidRPr="00AE261A">
        <w:rPr>
          <w:color w:val="000000" w:themeColor="text1"/>
          <w:sz w:val="15"/>
          <w:szCs w:val="15"/>
        </w:rPr>
        <w:t>Financial”)</w:t>
      </w:r>
      <w:proofErr w:type="gramEnd"/>
      <w:r w:rsidRPr="00AE261A">
        <w:rPr>
          <w:color w:val="000000" w:themeColor="text1"/>
          <w:sz w:val="15"/>
          <w:szCs w:val="15"/>
        </w:rPr>
        <w:t>, Member </w:t>
      </w:r>
      <w:hyperlink r:id="rId11" w:tgtFrame="_new" w:history="1">
        <w:r w:rsidRPr="00AE261A">
          <w:rPr>
            <w:rStyle w:val="Hyperlink"/>
            <w:b/>
            <w:bCs/>
            <w:color w:val="000000" w:themeColor="text1"/>
            <w:sz w:val="15"/>
            <w:szCs w:val="15"/>
            <w:u w:val="none"/>
          </w:rPr>
          <w:t>FINRA</w:t>
        </w:r>
      </w:hyperlink>
      <w:r w:rsidRPr="00AE261A">
        <w:rPr>
          <w:color w:val="000000" w:themeColor="text1"/>
          <w:sz w:val="15"/>
          <w:szCs w:val="15"/>
        </w:rPr>
        <w:t>/</w:t>
      </w:r>
      <w:hyperlink r:id="rId12" w:tgtFrame="_new" w:history="1">
        <w:r w:rsidRPr="00AE261A">
          <w:rPr>
            <w:rStyle w:val="Hyperlink"/>
            <w:b/>
            <w:bCs/>
            <w:color w:val="000000" w:themeColor="text1"/>
            <w:sz w:val="15"/>
            <w:szCs w:val="15"/>
            <w:u w:val="none"/>
          </w:rPr>
          <w:t>SIPC</w:t>
        </w:r>
      </w:hyperlink>
      <w:r w:rsidRPr="00AE261A">
        <w:rPr>
          <w:color w:val="000000" w:themeColor="text1"/>
          <w:sz w:val="15"/>
          <w:szCs w:val="15"/>
        </w:rPr>
        <w:t xml:space="preserve">. Copper Financial is </w:t>
      </w:r>
      <w:proofErr w:type="gramStart"/>
      <w:r w:rsidRPr="00AE261A">
        <w:rPr>
          <w:color w:val="000000" w:themeColor="text1"/>
          <w:sz w:val="15"/>
          <w:szCs w:val="15"/>
        </w:rPr>
        <w:t>a SEC</w:t>
      </w:r>
      <w:proofErr w:type="gramEnd"/>
      <w:r w:rsidRPr="00AE261A">
        <w:rPr>
          <w:color w:val="000000" w:themeColor="text1"/>
          <w:sz w:val="15"/>
          <w:szCs w:val="15"/>
        </w:rPr>
        <w:t xml:space="preserve"> registered investment adviser. Products offered through Copper Financial: </w:t>
      </w:r>
      <w:r w:rsidRPr="00AE261A">
        <w:rPr>
          <w:b/>
          <w:bCs/>
          <w:color w:val="000000" w:themeColor="text1"/>
          <w:sz w:val="15"/>
          <w:szCs w:val="15"/>
        </w:rPr>
        <w:t>are not NCUA/NCUSIF or otherwise federally insured, are not guarantees or obligations of the credit union, and may involve investment risk including possible loss of principal.</w:t>
      </w:r>
      <w:r w:rsidRPr="00AE261A">
        <w:rPr>
          <w:color w:val="000000" w:themeColor="text1"/>
          <w:sz w:val="15"/>
          <w:szCs w:val="15"/>
        </w:rPr>
        <w:t xml:space="preserve"> Copper Financial is a </w:t>
      </w:r>
      <w:proofErr w:type="gramStart"/>
      <w:r w:rsidRPr="00AE261A">
        <w:rPr>
          <w:color w:val="000000" w:themeColor="text1"/>
          <w:sz w:val="15"/>
          <w:szCs w:val="15"/>
        </w:rPr>
        <w:t>wholly-owned</w:t>
      </w:r>
      <w:proofErr w:type="gramEnd"/>
      <w:r w:rsidRPr="00AE261A">
        <w:rPr>
          <w:color w:val="000000" w:themeColor="text1"/>
          <w:sz w:val="15"/>
          <w:szCs w:val="15"/>
        </w:rPr>
        <w:t xml:space="preserve"> subsidiary of </w:t>
      </w:r>
      <w:proofErr w:type="spellStart"/>
      <w:r w:rsidRPr="00AE261A">
        <w:rPr>
          <w:color w:val="000000" w:themeColor="text1"/>
          <w:sz w:val="15"/>
          <w:szCs w:val="15"/>
        </w:rPr>
        <w:t>CommunityAmerica</w:t>
      </w:r>
      <w:proofErr w:type="spellEnd"/>
      <w:r w:rsidRPr="00AE261A">
        <w:rPr>
          <w:color w:val="000000" w:themeColor="text1"/>
          <w:sz w:val="15"/>
          <w:szCs w:val="15"/>
        </w:rPr>
        <w:t xml:space="preserve"> Federal Credit Union</w:t>
      </w:r>
      <w:r>
        <w:rPr>
          <w:color w:val="000000" w:themeColor="text1"/>
          <w:sz w:val="15"/>
          <w:szCs w:val="15"/>
        </w:rPr>
        <w:t>.</w:t>
      </w:r>
    </w:p>
    <w:p w14:paraId="385500B9" w14:textId="77777777" w:rsidR="00A6192F" w:rsidRDefault="00A6192F" w:rsidP="007B7F2F">
      <w:pPr>
        <w:pStyle w:val="BodyText"/>
      </w:pPr>
    </w:p>
    <w:p w14:paraId="76E2D24C" w14:textId="77777777" w:rsidR="00A6192F" w:rsidRPr="00AE261A" w:rsidRDefault="00A6192F" w:rsidP="00E57CFA">
      <w:pPr>
        <w:pStyle w:val="Footer"/>
        <w:tabs>
          <w:tab w:val="clear" w:pos="4680"/>
          <w:tab w:val="center" w:pos="9360"/>
        </w:tabs>
        <w:rPr>
          <w:sz w:val="15"/>
          <w:szCs w:val="15"/>
        </w:rPr>
      </w:pPr>
      <w:r w:rsidRPr="00AE261A">
        <w:rPr>
          <w:sz w:val="15"/>
          <w:szCs w:val="15"/>
        </w:rPr>
        <w:t xml:space="preserve">Securities and investment advisory services are offered through the firms: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 xml:space="preserve"> Wealth, Inc. and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 xml:space="preserve"> Institutions, Inc., broker-dealers, registered investment advisers, and members of FINRA and SIPC. Securities are offered through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 xml:space="preserve"> Services, Inc. and Ladenburg Thalmann &amp; Co., </w:t>
      </w:r>
      <w:proofErr w:type="gramStart"/>
      <w:r w:rsidRPr="00AE261A">
        <w:rPr>
          <w:sz w:val="15"/>
          <w:szCs w:val="15"/>
        </w:rPr>
        <w:t>broker-dealers</w:t>
      </w:r>
      <w:proofErr w:type="gramEnd"/>
      <w:r w:rsidRPr="00AE261A">
        <w:rPr>
          <w:sz w:val="15"/>
          <w:szCs w:val="15"/>
        </w:rPr>
        <w:t xml:space="preserve"> and members of FINRA and SIPC. Advisory services are offered through Ladenburg Thalmann Asset Management, Inc.,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 xml:space="preserve"> Advisory </w:t>
      </w:r>
      <w:proofErr w:type="gramStart"/>
      <w:r w:rsidRPr="00AE261A">
        <w:rPr>
          <w:sz w:val="15"/>
          <w:szCs w:val="15"/>
        </w:rPr>
        <w:t>Services,</w:t>
      </w:r>
      <w:proofErr w:type="gramEnd"/>
      <w:r w:rsidRPr="00AE261A">
        <w:rPr>
          <w:sz w:val="15"/>
          <w:szCs w:val="15"/>
        </w:rPr>
        <w:t xml:space="preserve"> LLC. and CW Advisors, LLC., registered investment advisers. Advisory programs offered by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 xml:space="preserve"> Wealth, Inc. are sponsored by VISION2020 Wealth Management Corp., an affiliated registered investment adviser.</w:t>
      </w:r>
    </w:p>
    <w:p w14:paraId="6DA85927" w14:textId="77B1D75B" w:rsidR="0024561C" w:rsidRPr="00FE7574" w:rsidRDefault="0024561C" w:rsidP="00E57CFA">
      <w:pPr>
        <w:pStyle w:val="Footer"/>
        <w:tabs>
          <w:tab w:val="clear" w:pos="4680"/>
          <w:tab w:val="center" w:pos="9360"/>
        </w:tabs>
        <w:rPr>
          <w:color w:val="000000" w:themeColor="text1"/>
          <w:sz w:val="15"/>
          <w:szCs w:val="15"/>
        </w:rPr>
      </w:pPr>
      <w:r w:rsidRPr="00AE261A">
        <w:rPr>
          <w:sz w:val="15"/>
          <w:szCs w:val="15"/>
        </w:rPr>
        <w:t xml:space="preserve">© </w:t>
      </w:r>
      <w:proofErr w:type="spellStart"/>
      <w:r w:rsidRPr="00AE261A">
        <w:rPr>
          <w:sz w:val="15"/>
          <w:szCs w:val="15"/>
        </w:rPr>
        <w:t>Osaic</w:t>
      </w:r>
      <w:proofErr w:type="spellEnd"/>
      <w:r w:rsidRPr="00AE261A">
        <w:rPr>
          <w:sz w:val="15"/>
          <w:szCs w:val="15"/>
        </w:rPr>
        <w:t>, Inc.  •  osaic.com                                                                                                                                                                                                                                           05/26 5852465</w:t>
      </w:r>
    </w:p>
    <w:p w14:paraId="17C6B3E9" w14:textId="70D9C6B1" w:rsidR="00E9748D" w:rsidRDefault="00E9748D" w:rsidP="0024561C">
      <w:pPr>
        <w:pStyle w:val="BodyText"/>
        <w:tabs>
          <w:tab w:val="left" w:pos="9300"/>
        </w:tabs>
        <w:spacing w:before="94"/>
      </w:pPr>
    </w:p>
    <w:sectPr w:rsidR="00E9748D">
      <w:footerReference w:type="even" r:id="rId13"/>
      <w:footerReference w:type="default" r:id="rId14"/>
      <w:footerReference w:type="first" r:id="rId15"/>
      <w:type w:val="continuous"/>
      <w:pgSz w:w="12240" w:h="15840"/>
      <w:pgMar w:top="740" w:right="8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8336" w14:textId="77777777" w:rsidR="00117B46" w:rsidRDefault="00117B46" w:rsidP="00AE19AD">
      <w:r>
        <w:separator/>
      </w:r>
    </w:p>
  </w:endnote>
  <w:endnote w:type="continuationSeparator" w:id="0">
    <w:p w14:paraId="0EC3E672" w14:textId="77777777" w:rsidR="00117B46" w:rsidRDefault="00117B46" w:rsidP="00AE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selis Pro">
    <w:altName w:val="Calibri"/>
    <w:panose1 w:val="00000000000000000000"/>
    <w:charset w:val="00"/>
    <w:family w:val="modern"/>
    <w:notTrueType/>
    <w:pitch w:val="variable"/>
    <w:sig w:usb0="A00000FF" w:usb1="4000A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CC50" w14:textId="62DF9143" w:rsidR="00AE19AD" w:rsidRDefault="00AE1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27D2" w14:textId="338E4729" w:rsidR="00AE19AD" w:rsidRDefault="00AE19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19B8" w14:textId="5D9B258A" w:rsidR="00AE19AD" w:rsidRDefault="00AE1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5B4C" w14:textId="77777777" w:rsidR="00117B46" w:rsidRDefault="00117B46" w:rsidP="00AE19AD">
      <w:r>
        <w:separator/>
      </w:r>
    </w:p>
  </w:footnote>
  <w:footnote w:type="continuationSeparator" w:id="0">
    <w:p w14:paraId="7257300F" w14:textId="77777777" w:rsidR="00117B46" w:rsidRDefault="00117B46" w:rsidP="00AE1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8D"/>
    <w:rsid w:val="00022DD1"/>
    <w:rsid w:val="00023A7E"/>
    <w:rsid w:val="00045D05"/>
    <w:rsid w:val="000637D2"/>
    <w:rsid w:val="00067956"/>
    <w:rsid w:val="00072070"/>
    <w:rsid w:val="000969C2"/>
    <w:rsid w:val="000B28B6"/>
    <w:rsid w:val="000D7279"/>
    <w:rsid w:val="00106782"/>
    <w:rsid w:val="0011473A"/>
    <w:rsid w:val="00117B46"/>
    <w:rsid w:val="00133C44"/>
    <w:rsid w:val="001612EA"/>
    <w:rsid w:val="00165A3C"/>
    <w:rsid w:val="001A02A8"/>
    <w:rsid w:val="001C739F"/>
    <w:rsid w:val="001E3BBA"/>
    <w:rsid w:val="00206A7F"/>
    <w:rsid w:val="0024561C"/>
    <w:rsid w:val="00262FEF"/>
    <w:rsid w:val="00271322"/>
    <w:rsid w:val="002A2955"/>
    <w:rsid w:val="003305D9"/>
    <w:rsid w:val="00392018"/>
    <w:rsid w:val="00393F60"/>
    <w:rsid w:val="003A7909"/>
    <w:rsid w:val="003B2CC4"/>
    <w:rsid w:val="003B3BC8"/>
    <w:rsid w:val="003C653B"/>
    <w:rsid w:val="003C7F99"/>
    <w:rsid w:val="003F4D1D"/>
    <w:rsid w:val="00446332"/>
    <w:rsid w:val="004535FE"/>
    <w:rsid w:val="00456531"/>
    <w:rsid w:val="0046027C"/>
    <w:rsid w:val="00470C91"/>
    <w:rsid w:val="004759A5"/>
    <w:rsid w:val="00494887"/>
    <w:rsid w:val="00497FF2"/>
    <w:rsid w:val="004A3A42"/>
    <w:rsid w:val="004B6A00"/>
    <w:rsid w:val="004D02B3"/>
    <w:rsid w:val="004D363A"/>
    <w:rsid w:val="00510889"/>
    <w:rsid w:val="00517F6B"/>
    <w:rsid w:val="00557613"/>
    <w:rsid w:val="00585BCB"/>
    <w:rsid w:val="005D3710"/>
    <w:rsid w:val="005E78CB"/>
    <w:rsid w:val="0061284B"/>
    <w:rsid w:val="00614EB8"/>
    <w:rsid w:val="006327E7"/>
    <w:rsid w:val="00670172"/>
    <w:rsid w:val="0069450F"/>
    <w:rsid w:val="006F05C6"/>
    <w:rsid w:val="006F4451"/>
    <w:rsid w:val="007407E2"/>
    <w:rsid w:val="00747413"/>
    <w:rsid w:val="00763EB2"/>
    <w:rsid w:val="00770F46"/>
    <w:rsid w:val="00783723"/>
    <w:rsid w:val="007838B8"/>
    <w:rsid w:val="007A574A"/>
    <w:rsid w:val="007B1103"/>
    <w:rsid w:val="007B2A17"/>
    <w:rsid w:val="007B7F2F"/>
    <w:rsid w:val="00841B2F"/>
    <w:rsid w:val="00856DEB"/>
    <w:rsid w:val="00867836"/>
    <w:rsid w:val="00873D31"/>
    <w:rsid w:val="00894D28"/>
    <w:rsid w:val="0089761F"/>
    <w:rsid w:val="008B73CD"/>
    <w:rsid w:val="008C7060"/>
    <w:rsid w:val="008D4DB7"/>
    <w:rsid w:val="008D6397"/>
    <w:rsid w:val="008E6F5B"/>
    <w:rsid w:val="00912EA0"/>
    <w:rsid w:val="00913AF0"/>
    <w:rsid w:val="009179FD"/>
    <w:rsid w:val="00920A5F"/>
    <w:rsid w:val="00937A39"/>
    <w:rsid w:val="00946093"/>
    <w:rsid w:val="009548E6"/>
    <w:rsid w:val="0096575F"/>
    <w:rsid w:val="00984223"/>
    <w:rsid w:val="009A4A22"/>
    <w:rsid w:val="009B133D"/>
    <w:rsid w:val="009B3E9C"/>
    <w:rsid w:val="009B5132"/>
    <w:rsid w:val="009C4631"/>
    <w:rsid w:val="009D0593"/>
    <w:rsid w:val="009E0C5C"/>
    <w:rsid w:val="009E7E9D"/>
    <w:rsid w:val="00A10260"/>
    <w:rsid w:val="00A379B4"/>
    <w:rsid w:val="00A6192F"/>
    <w:rsid w:val="00A93B1A"/>
    <w:rsid w:val="00AC6B16"/>
    <w:rsid w:val="00AD5269"/>
    <w:rsid w:val="00AD6665"/>
    <w:rsid w:val="00AE19AD"/>
    <w:rsid w:val="00AE261A"/>
    <w:rsid w:val="00AF4843"/>
    <w:rsid w:val="00AF6C13"/>
    <w:rsid w:val="00B0171B"/>
    <w:rsid w:val="00B21E60"/>
    <w:rsid w:val="00B8625A"/>
    <w:rsid w:val="00BA4443"/>
    <w:rsid w:val="00BB79FA"/>
    <w:rsid w:val="00BD1947"/>
    <w:rsid w:val="00C10E56"/>
    <w:rsid w:val="00C41D90"/>
    <w:rsid w:val="00C467F6"/>
    <w:rsid w:val="00C47CC3"/>
    <w:rsid w:val="00C5250F"/>
    <w:rsid w:val="00CB41C8"/>
    <w:rsid w:val="00D10A4F"/>
    <w:rsid w:val="00D86064"/>
    <w:rsid w:val="00D97484"/>
    <w:rsid w:val="00DD4B7D"/>
    <w:rsid w:val="00DE1D2E"/>
    <w:rsid w:val="00E037BB"/>
    <w:rsid w:val="00E04FBD"/>
    <w:rsid w:val="00E27714"/>
    <w:rsid w:val="00E42E47"/>
    <w:rsid w:val="00E51363"/>
    <w:rsid w:val="00E52D84"/>
    <w:rsid w:val="00E57CFA"/>
    <w:rsid w:val="00E7640A"/>
    <w:rsid w:val="00E92676"/>
    <w:rsid w:val="00E9748D"/>
    <w:rsid w:val="00EC6F78"/>
    <w:rsid w:val="00F0205F"/>
    <w:rsid w:val="00F17DEA"/>
    <w:rsid w:val="00F458A3"/>
    <w:rsid w:val="00F46279"/>
    <w:rsid w:val="00F50643"/>
    <w:rsid w:val="00F53C97"/>
    <w:rsid w:val="00F92DBB"/>
    <w:rsid w:val="00FA361B"/>
    <w:rsid w:val="00F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3CA3"/>
  <w15:docId w15:val="{3A8894A5-C16B-4990-90A3-45BA8FB5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arselis Pro" w:eastAsia="Marselis Pro" w:hAnsi="Marselis Pro" w:cs="Marselis Pro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62"/>
      <w:ind w:left="5240" w:right="632"/>
    </w:pPr>
    <w:rPr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643"/>
      <w:jc w:val="center"/>
    </w:pPr>
  </w:style>
  <w:style w:type="paragraph" w:styleId="Footer">
    <w:name w:val="footer"/>
    <w:basedOn w:val="Normal"/>
    <w:link w:val="FooterChar"/>
    <w:uiPriority w:val="99"/>
    <w:unhideWhenUsed/>
    <w:rsid w:val="00AE19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9AD"/>
    <w:rPr>
      <w:rFonts w:ascii="Marselis Pro" w:eastAsia="Marselis Pro" w:hAnsi="Marselis Pro" w:cs="Marselis Pro"/>
    </w:rPr>
  </w:style>
  <w:style w:type="paragraph" w:styleId="Header">
    <w:name w:val="header"/>
    <w:basedOn w:val="Normal"/>
    <w:link w:val="HeaderChar"/>
    <w:uiPriority w:val="99"/>
    <w:semiHidden/>
    <w:unhideWhenUsed/>
    <w:rsid w:val="004D0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2B3"/>
    <w:rPr>
      <w:rFonts w:ascii="Marselis Pro" w:eastAsia="Marselis Pro" w:hAnsi="Marselis Pro" w:cs="Marselis Pro"/>
    </w:rPr>
  </w:style>
  <w:style w:type="table" w:customStyle="1" w:styleId="FundTableStyle">
    <w:name w:val="Fund Table Style"/>
    <w:basedOn w:val="TableNormal"/>
    <w:uiPriority w:val="99"/>
    <w:rsid w:val="00A6192F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tblPr/>
      <w:tcPr>
        <w:shd w:val="clear" w:color="auto" w:fill="407EA3"/>
      </w:tcPr>
    </w:tblStylePr>
    <w:tblStylePr w:type="band1Horz">
      <w:tblPr/>
      <w:tcPr>
        <w:shd w:val="clear" w:color="auto" w:fill="EBF2F6"/>
      </w:tcPr>
    </w:tblStylePr>
    <w:tblStylePr w:type="band2Horz">
      <w:tblPr/>
      <w:tcPr>
        <w:shd w:val="clear" w:color="auto" w:fill="F5F8FA"/>
      </w:tcPr>
    </w:tblStylePr>
  </w:style>
  <w:style w:type="character" w:styleId="Hyperlink">
    <w:name w:val="Hyperlink"/>
    <w:basedOn w:val="DefaultParagraphFont"/>
    <w:uiPriority w:val="99"/>
    <w:unhideWhenUsed/>
    <w:rsid w:val="00A61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ipc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nra.org/about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A962752A78849A2B42E67C1406E9A" ma:contentTypeVersion="13" ma:contentTypeDescription="Create a new document." ma:contentTypeScope="" ma:versionID="9445f4190b9ed99b3477c23395ed88a5">
  <xsd:schema xmlns:xsd="http://www.w3.org/2001/XMLSchema" xmlns:xs="http://www.w3.org/2001/XMLSchema" xmlns:p="http://schemas.microsoft.com/office/2006/metadata/properties" xmlns:ns2="c4942525-1800-48e5-9dde-506b1efd4b72" xmlns:ns3="ee16ffb3-eec4-4bf0-8696-46bbdadebdb0" targetNamespace="http://schemas.microsoft.com/office/2006/metadata/properties" ma:root="true" ma:fieldsID="bbc063da2d26d97f0b6e2503cd93e590" ns2:_="" ns3:_="">
    <xsd:import namespace="c4942525-1800-48e5-9dde-506b1efd4b72"/>
    <xsd:import namespace="ee16ffb3-eec4-4bf0-8696-46bbdadeb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42525-1800-48e5-9dde-506b1efd4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35bf2f-b1b3-45ee-8559-9c2cf60ba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ffb3-eec4-4bf0-8696-46bbdadeb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c8d7a1f-4d64-46d7-86a4-6edf40fd9119}" ma:internalName="TaxCatchAll" ma:showField="CatchAllData" ma:web="ee16ffb3-eec4-4bf0-8696-46bbdadeb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42525-1800-48e5-9dde-506b1efd4b72">
      <Terms xmlns="http://schemas.microsoft.com/office/infopath/2007/PartnerControls"/>
    </lcf76f155ced4ddcb4097134ff3c332f>
    <TaxCatchAll xmlns="ee16ffb3-eec4-4bf0-8696-46bbdadebd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C8345-C30A-4F25-9120-D9A63D253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42525-1800-48e5-9dde-506b1efd4b72"/>
    <ds:schemaRef ds:uri="ee16ffb3-eec4-4bf0-8696-46bbdadeb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2DCA3-EA29-4D53-915D-4F5E24774F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2A079-D6F7-4309-B7E8-8B7D455FE800}">
  <ds:schemaRefs>
    <ds:schemaRef ds:uri="http://schemas.microsoft.com/office/2006/metadata/properties"/>
    <ds:schemaRef ds:uri="http://schemas.microsoft.com/office/infopath/2007/PartnerControls"/>
    <ds:schemaRef ds:uri="c4942525-1800-48e5-9dde-506b1efd4b72"/>
    <ds:schemaRef ds:uri="ee16ffb3-eec4-4bf0-8696-46bbdadebdb0"/>
  </ds:schemaRefs>
</ds:datastoreItem>
</file>

<file path=customXml/itemProps4.xml><?xml version="1.0" encoding="utf-8"?>
<ds:datastoreItem xmlns:ds="http://schemas.openxmlformats.org/officeDocument/2006/customXml" ds:itemID="{F8203FE0-5C5A-4560-BFEC-821FC47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Brown, Wesley</dc:creator>
  <cp:lastModifiedBy>Abby Fellows</cp:lastModifiedBy>
  <cp:revision>27</cp:revision>
  <dcterms:created xsi:type="dcterms:W3CDTF">2026-05-15T17:26:00Z</dcterms:created>
  <dcterms:modified xsi:type="dcterms:W3CDTF">2026-06-23T20:28:00Z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2023-08-21T00:00:00Z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0x0101006C5A962752A78849A2B42E67C1406E9A</vt:lpwstr>
  </property>
  <property fmtid="{D5CDD505-2E9C-101B-9397-08002B2CF9AE}" pid="7" name="MediaServiceImageTags">
    <vt:lpwstr/>
  </property>
  <property fmtid="{D5CDD505-2E9C-101B-9397-08002B2CF9AE}" pid="8" name="MSIP_Label_11c3f6da-4e94-4b89-98f8-b444a7c1606f_Enabled">
    <vt:lpwstr>true</vt:lpwstr>
  </property>
  <property fmtid="{D5CDD505-2E9C-101B-9397-08002B2CF9AE}" pid="9" name="MSIP_Label_11c3f6da-4e94-4b89-98f8-b444a7c1606f_SetDate">
    <vt:lpwstr>2025-08-18T15:21:55Z</vt:lpwstr>
  </property>
  <property fmtid="{D5CDD505-2E9C-101B-9397-08002B2CF9AE}" pid="10" name="MSIP_Label_11c3f6da-4e94-4b89-98f8-b444a7c1606f_Method">
    <vt:lpwstr>Privileged</vt:lpwstr>
  </property>
  <property fmtid="{D5CDD505-2E9C-101B-9397-08002B2CF9AE}" pid="11" name="MSIP_Label_11c3f6da-4e94-4b89-98f8-b444a7c1606f_Name">
    <vt:lpwstr>Public - Test</vt:lpwstr>
  </property>
  <property fmtid="{D5CDD505-2E9C-101B-9397-08002B2CF9AE}" pid="12" name="MSIP_Label_11c3f6da-4e94-4b89-98f8-b444a7c1606f_SiteId">
    <vt:lpwstr>c1ef4e97-eeff-48b2-b720-0c8480a08061</vt:lpwstr>
  </property>
  <property fmtid="{D5CDD505-2E9C-101B-9397-08002B2CF9AE}" pid="13" name="MSIP_Label_11c3f6da-4e94-4b89-98f8-b444a7c1606f_ActionId">
    <vt:lpwstr>72316b97-3b59-497a-8ce4-19ed0580e6b3</vt:lpwstr>
  </property>
  <property fmtid="{D5CDD505-2E9C-101B-9397-08002B2CF9AE}" pid="14" name="MSIP_Label_11c3f6da-4e94-4b89-98f8-b444a7c1606f_ContentBits">
    <vt:lpwstr>0</vt:lpwstr>
  </property>
  <property fmtid="{D5CDD505-2E9C-101B-9397-08002B2CF9AE}" pid="15" name="MSIP_Label_11c3f6da-4e94-4b89-98f8-b444a7c1606f_Tag">
    <vt:lpwstr>10, 0, 1, 1</vt:lpwstr>
  </property>
</Properties>
</file>