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076EA" w14:textId="77777777" w:rsidR="00FB46C5" w:rsidRDefault="00BC4798" w:rsidP="002279CD">
      <w:pPr>
        <w:pStyle w:val="Heading1"/>
        <w:spacing w:before="0"/>
        <w:ind w:left="4320" w:firstLine="720"/>
        <w:rPr>
          <w:rFonts w:ascii="Marselis Pro" w:hAnsi="Marselis Pro"/>
          <w:b w:val="0"/>
          <w:bCs w:val="0"/>
          <w:color w:val="113658"/>
          <w:sz w:val="52"/>
          <w:szCs w:val="52"/>
        </w:rPr>
      </w:pPr>
      <w:r w:rsidRPr="00FB46C5">
        <w:rPr>
          <w:b w:val="0"/>
          <w:bCs w:val="0"/>
          <w:noProof/>
          <w:color w:val="113658"/>
          <w:sz w:val="52"/>
          <w:szCs w:val="52"/>
        </w:rPr>
        <w:drawing>
          <wp:anchor distT="0" distB="0" distL="114300" distR="114300" simplePos="0" relativeHeight="251659264" behindDoc="0" locked="0" layoutInCell="1" allowOverlap="1" wp14:anchorId="48478F25" wp14:editId="2C482636">
            <wp:simplePos x="0" y="0"/>
            <wp:positionH relativeFrom="margin">
              <wp:posOffset>-533400</wp:posOffset>
            </wp:positionH>
            <wp:positionV relativeFrom="paragraph">
              <wp:posOffset>0</wp:posOffset>
            </wp:positionV>
            <wp:extent cx="2286000" cy="729615"/>
            <wp:effectExtent l="0" t="0" r="0" b="0"/>
            <wp:wrapNone/>
            <wp:docPr id="144682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6000" cy="729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sidRPr="00FB46C5">
        <w:rPr>
          <w:rFonts w:ascii="Marselis Pro" w:hAnsi="Marselis Pro"/>
          <w:b w:val="0"/>
          <w:bCs w:val="0"/>
          <w:color w:val="113658"/>
          <w:sz w:val="52"/>
          <w:szCs w:val="52"/>
        </w:rPr>
        <w:t xml:space="preserve">Insured Cash </w:t>
      </w:r>
    </w:p>
    <w:p w14:paraId="1DF307E0" w14:textId="77777777" w:rsidR="00FB46C5" w:rsidRDefault="00000000" w:rsidP="002279CD">
      <w:pPr>
        <w:pStyle w:val="Heading1"/>
        <w:spacing w:before="0"/>
        <w:jc w:val="right"/>
        <w:rPr>
          <w:rFonts w:ascii="Marselis Pro" w:hAnsi="Marselis Pro"/>
          <w:b w:val="0"/>
          <w:bCs w:val="0"/>
          <w:color w:val="113658"/>
          <w:sz w:val="52"/>
          <w:szCs w:val="52"/>
        </w:rPr>
      </w:pPr>
      <w:r w:rsidRPr="00FB46C5">
        <w:rPr>
          <w:rFonts w:ascii="Marselis Pro" w:hAnsi="Marselis Pro"/>
          <w:b w:val="0"/>
          <w:bCs w:val="0"/>
          <w:color w:val="113658"/>
          <w:sz w:val="52"/>
          <w:szCs w:val="52"/>
        </w:rPr>
        <w:t xml:space="preserve">Account Program </w:t>
      </w:r>
    </w:p>
    <w:p w14:paraId="613D00EB" w14:textId="61007202" w:rsidR="004A0016" w:rsidRPr="00FB46C5" w:rsidRDefault="002279CD" w:rsidP="002279CD">
      <w:pPr>
        <w:pStyle w:val="Heading1"/>
        <w:spacing w:before="0"/>
        <w:jc w:val="center"/>
        <w:rPr>
          <w:rFonts w:ascii="Marselis Pro" w:hAnsi="Marselis Pro"/>
          <w:b w:val="0"/>
          <w:bCs w:val="0"/>
          <w:color w:val="113658"/>
          <w:sz w:val="52"/>
          <w:szCs w:val="52"/>
        </w:rPr>
      </w:pPr>
      <w:r>
        <w:rPr>
          <w:rFonts w:ascii="Marselis Pro" w:hAnsi="Marselis Pro"/>
          <w:b w:val="0"/>
          <w:bCs w:val="0"/>
          <w:color w:val="113658"/>
          <w:sz w:val="52"/>
          <w:szCs w:val="52"/>
        </w:rPr>
        <w:t xml:space="preserve">                            </w:t>
      </w:r>
      <w:r w:rsidR="00000000" w:rsidRPr="00FB46C5">
        <w:rPr>
          <w:rFonts w:ascii="Marselis Pro" w:hAnsi="Marselis Pro"/>
          <w:b w:val="0"/>
          <w:bCs w:val="0"/>
          <w:color w:val="113658"/>
          <w:sz w:val="52"/>
          <w:szCs w:val="52"/>
        </w:rPr>
        <w:t>Fee Table</w:t>
      </w:r>
    </w:p>
    <w:p w14:paraId="6449D39E" w14:textId="0695EBDF" w:rsidR="00A55E22" w:rsidRDefault="002279CD" w:rsidP="002279CD">
      <w:pPr>
        <w:spacing w:after="0"/>
        <w:jc w:val="center"/>
        <w:rPr>
          <w:rFonts w:ascii="Marselis Pro" w:hAnsi="Marselis Pro"/>
          <w:color w:val="0070C0"/>
        </w:rPr>
      </w:pPr>
      <w:r>
        <w:rPr>
          <w:rFonts w:ascii="Marselis Pro" w:hAnsi="Marselis Pro"/>
          <w:color w:val="0070C0"/>
        </w:rPr>
        <w:t xml:space="preserve">                                                                                      </w:t>
      </w:r>
      <w:r w:rsidR="00000000" w:rsidRPr="00A942DA">
        <w:rPr>
          <w:rFonts w:ascii="Marselis Pro" w:hAnsi="Marselis Pro"/>
          <w:color w:val="0070C0"/>
        </w:rPr>
        <w:t>(Effective on or around 9/16/25)</w:t>
      </w:r>
    </w:p>
    <w:p w14:paraId="0649FC24" w14:textId="77777777" w:rsidR="002279CD" w:rsidRPr="002279CD" w:rsidRDefault="002279CD" w:rsidP="00F13AB4">
      <w:pPr>
        <w:spacing w:after="0"/>
        <w:jc w:val="center"/>
        <w:rPr>
          <w:rFonts w:ascii="Marselis Pro" w:hAnsi="Marselis Pro"/>
          <w:color w:val="0070C0"/>
        </w:rPr>
      </w:pPr>
    </w:p>
    <w:tbl>
      <w:tblPr>
        <w:tblStyle w:val="TableGrid"/>
        <w:tblW w:w="0" w:type="auto"/>
        <w:tblInd w:w="1008" w:type="dxa"/>
        <w:tblLook w:val="04A0" w:firstRow="1" w:lastRow="0" w:firstColumn="1" w:lastColumn="0" w:noHBand="0" w:noVBand="1"/>
      </w:tblPr>
      <w:tblGrid>
        <w:gridCol w:w="3312"/>
        <w:gridCol w:w="3078"/>
      </w:tblGrid>
      <w:tr w:rsidR="004A0016" w14:paraId="3C33D38A" w14:textId="77777777" w:rsidTr="001163F6">
        <w:trPr>
          <w:trHeight w:val="332"/>
        </w:trPr>
        <w:tc>
          <w:tcPr>
            <w:tcW w:w="3312" w:type="dxa"/>
            <w:shd w:val="clear" w:color="auto" w:fill="113658"/>
          </w:tcPr>
          <w:p w14:paraId="02B9367B" w14:textId="4D0BE3CA" w:rsidR="004A0016" w:rsidRPr="00B0467D" w:rsidRDefault="00000000" w:rsidP="00F13AB4">
            <w:pPr>
              <w:jc w:val="center"/>
              <w:rPr>
                <w:rFonts w:ascii="Marselis Pro" w:hAnsi="Marselis Pro"/>
                <w:b/>
                <w:bCs/>
                <w:sz w:val="20"/>
                <w:szCs w:val="20"/>
              </w:rPr>
            </w:pPr>
            <w:r w:rsidRPr="00B0467D">
              <w:rPr>
                <w:rFonts w:ascii="Marselis Pro" w:hAnsi="Marselis Pro"/>
                <w:b/>
                <w:bCs/>
                <w:sz w:val="20"/>
                <w:szCs w:val="20"/>
              </w:rPr>
              <w:t>Fed Funds Target</w:t>
            </w:r>
            <w:r w:rsidR="00837504">
              <w:rPr>
                <w:rFonts w:ascii="Marselis Pro" w:hAnsi="Marselis Pro"/>
                <w:b/>
                <w:bCs/>
                <w:sz w:val="20"/>
                <w:szCs w:val="20"/>
              </w:rPr>
              <w:t>:</w:t>
            </w:r>
          </w:p>
        </w:tc>
        <w:tc>
          <w:tcPr>
            <w:tcW w:w="3078" w:type="dxa"/>
            <w:shd w:val="clear" w:color="auto" w:fill="113658"/>
          </w:tcPr>
          <w:p w14:paraId="166BAF61" w14:textId="5C2EAC66" w:rsidR="004A0016" w:rsidRPr="00B0467D" w:rsidRDefault="00000000" w:rsidP="00F13AB4">
            <w:pPr>
              <w:jc w:val="center"/>
              <w:rPr>
                <w:rFonts w:ascii="Marselis Pro" w:hAnsi="Marselis Pro"/>
                <w:b/>
                <w:bCs/>
                <w:sz w:val="20"/>
                <w:szCs w:val="20"/>
              </w:rPr>
            </w:pPr>
            <w:r w:rsidRPr="00B0467D">
              <w:rPr>
                <w:rFonts w:ascii="Marselis Pro" w:hAnsi="Marselis Pro"/>
                <w:b/>
                <w:bCs/>
                <w:sz w:val="20"/>
                <w:szCs w:val="20"/>
              </w:rPr>
              <w:t>New Monthly Fee</w:t>
            </w:r>
            <w:r w:rsidR="00837504">
              <w:rPr>
                <w:rFonts w:ascii="Marselis Pro" w:hAnsi="Marselis Pro"/>
                <w:b/>
                <w:bCs/>
                <w:sz w:val="20"/>
                <w:szCs w:val="20"/>
              </w:rPr>
              <w:t>:</w:t>
            </w:r>
          </w:p>
        </w:tc>
      </w:tr>
      <w:tr w:rsidR="004A0016" w14:paraId="2BF138F3" w14:textId="77777777" w:rsidTr="001163F6">
        <w:tc>
          <w:tcPr>
            <w:tcW w:w="3312" w:type="dxa"/>
          </w:tcPr>
          <w:p w14:paraId="2B472190"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0 – 0.25%</w:t>
            </w:r>
          </w:p>
        </w:tc>
        <w:tc>
          <w:tcPr>
            <w:tcW w:w="3078" w:type="dxa"/>
          </w:tcPr>
          <w:p w14:paraId="62DF4F47"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$0.95</w:t>
            </w:r>
          </w:p>
        </w:tc>
      </w:tr>
      <w:tr w:rsidR="004A0016" w14:paraId="3B7E8546" w14:textId="77777777" w:rsidTr="001163F6">
        <w:tc>
          <w:tcPr>
            <w:tcW w:w="3312" w:type="dxa"/>
          </w:tcPr>
          <w:p w14:paraId="60229A2B"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0.25 – 0.50%</w:t>
            </w:r>
          </w:p>
        </w:tc>
        <w:tc>
          <w:tcPr>
            <w:tcW w:w="3078" w:type="dxa"/>
          </w:tcPr>
          <w:p w14:paraId="2A813FEF"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$2.30</w:t>
            </w:r>
          </w:p>
        </w:tc>
      </w:tr>
      <w:tr w:rsidR="004A0016" w14:paraId="280DB94A" w14:textId="77777777" w:rsidTr="001163F6">
        <w:tc>
          <w:tcPr>
            <w:tcW w:w="3312" w:type="dxa"/>
          </w:tcPr>
          <w:p w14:paraId="7FCB92E9"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0.50 – 0.75%</w:t>
            </w:r>
          </w:p>
        </w:tc>
        <w:tc>
          <w:tcPr>
            <w:tcW w:w="3078" w:type="dxa"/>
          </w:tcPr>
          <w:p w14:paraId="3FCFF599"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$3.65</w:t>
            </w:r>
          </w:p>
        </w:tc>
      </w:tr>
      <w:tr w:rsidR="004A0016" w14:paraId="09D33CC1" w14:textId="77777777" w:rsidTr="001163F6">
        <w:tc>
          <w:tcPr>
            <w:tcW w:w="3312" w:type="dxa"/>
          </w:tcPr>
          <w:p w14:paraId="318A0308"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0.75 – 1.00%</w:t>
            </w:r>
          </w:p>
        </w:tc>
        <w:tc>
          <w:tcPr>
            <w:tcW w:w="3078" w:type="dxa"/>
          </w:tcPr>
          <w:p w14:paraId="16A317C2"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$5.00</w:t>
            </w:r>
          </w:p>
        </w:tc>
      </w:tr>
      <w:tr w:rsidR="004A0016" w14:paraId="59BFBB97" w14:textId="77777777" w:rsidTr="001163F6">
        <w:tc>
          <w:tcPr>
            <w:tcW w:w="3312" w:type="dxa"/>
          </w:tcPr>
          <w:p w14:paraId="07CE7256"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1.00 – 1.25%</w:t>
            </w:r>
          </w:p>
        </w:tc>
        <w:tc>
          <w:tcPr>
            <w:tcW w:w="3078" w:type="dxa"/>
          </w:tcPr>
          <w:p w14:paraId="160505E4"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$6.35</w:t>
            </w:r>
          </w:p>
        </w:tc>
      </w:tr>
      <w:tr w:rsidR="004A0016" w14:paraId="1A0DF961" w14:textId="77777777" w:rsidTr="001163F6">
        <w:tc>
          <w:tcPr>
            <w:tcW w:w="3312" w:type="dxa"/>
          </w:tcPr>
          <w:p w14:paraId="2B8C7FCD"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1.25 – 1.50%</w:t>
            </w:r>
          </w:p>
        </w:tc>
        <w:tc>
          <w:tcPr>
            <w:tcW w:w="3078" w:type="dxa"/>
          </w:tcPr>
          <w:p w14:paraId="480F9D2F"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$7.70</w:t>
            </w:r>
          </w:p>
        </w:tc>
      </w:tr>
      <w:tr w:rsidR="004A0016" w14:paraId="42CBA032" w14:textId="77777777" w:rsidTr="001163F6">
        <w:tc>
          <w:tcPr>
            <w:tcW w:w="3312" w:type="dxa"/>
          </w:tcPr>
          <w:p w14:paraId="2524C7E5"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1.50 – 1.75%</w:t>
            </w:r>
          </w:p>
        </w:tc>
        <w:tc>
          <w:tcPr>
            <w:tcW w:w="3078" w:type="dxa"/>
          </w:tcPr>
          <w:p w14:paraId="0F1564E0"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$9.05</w:t>
            </w:r>
          </w:p>
        </w:tc>
      </w:tr>
      <w:tr w:rsidR="004A0016" w14:paraId="2A763BBB" w14:textId="77777777" w:rsidTr="001163F6">
        <w:tc>
          <w:tcPr>
            <w:tcW w:w="3312" w:type="dxa"/>
          </w:tcPr>
          <w:p w14:paraId="18CD6832"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1.75 – 2.00%</w:t>
            </w:r>
          </w:p>
        </w:tc>
        <w:tc>
          <w:tcPr>
            <w:tcW w:w="3078" w:type="dxa"/>
          </w:tcPr>
          <w:p w14:paraId="1B230B53"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$10.40</w:t>
            </w:r>
          </w:p>
        </w:tc>
      </w:tr>
      <w:tr w:rsidR="004A0016" w14:paraId="5D19A4AC" w14:textId="77777777" w:rsidTr="001163F6">
        <w:tc>
          <w:tcPr>
            <w:tcW w:w="3312" w:type="dxa"/>
          </w:tcPr>
          <w:p w14:paraId="14DE40D7"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2.00 – 2.25%</w:t>
            </w:r>
          </w:p>
        </w:tc>
        <w:tc>
          <w:tcPr>
            <w:tcW w:w="3078" w:type="dxa"/>
          </w:tcPr>
          <w:p w14:paraId="2D6A2BA8"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$11.75</w:t>
            </w:r>
          </w:p>
        </w:tc>
      </w:tr>
      <w:tr w:rsidR="004A0016" w14:paraId="274BADB7" w14:textId="77777777" w:rsidTr="001163F6">
        <w:tc>
          <w:tcPr>
            <w:tcW w:w="3312" w:type="dxa"/>
          </w:tcPr>
          <w:p w14:paraId="3BCF2FC1"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2.25 – 2.50%</w:t>
            </w:r>
          </w:p>
        </w:tc>
        <w:tc>
          <w:tcPr>
            <w:tcW w:w="3078" w:type="dxa"/>
          </w:tcPr>
          <w:p w14:paraId="1667CDB7"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$13.10</w:t>
            </w:r>
          </w:p>
        </w:tc>
      </w:tr>
      <w:tr w:rsidR="004A0016" w14:paraId="49A8688D" w14:textId="77777777" w:rsidTr="001163F6">
        <w:tc>
          <w:tcPr>
            <w:tcW w:w="3312" w:type="dxa"/>
          </w:tcPr>
          <w:p w14:paraId="1D53FCDB"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2.50 – 2.75%</w:t>
            </w:r>
          </w:p>
        </w:tc>
        <w:tc>
          <w:tcPr>
            <w:tcW w:w="3078" w:type="dxa"/>
          </w:tcPr>
          <w:p w14:paraId="3A1819F4"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$14.45</w:t>
            </w:r>
          </w:p>
        </w:tc>
      </w:tr>
      <w:tr w:rsidR="004A0016" w14:paraId="4F38F2F5" w14:textId="77777777" w:rsidTr="001163F6">
        <w:tc>
          <w:tcPr>
            <w:tcW w:w="3312" w:type="dxa"/>
          </w:tcPr>
          <w:p w14:paraId="5CBFCAED"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2.75 – 3.00%</w:t>
            </w:r>
          </w:p>
        </w:tc>
        <w:tc>
          <w:tcPr>
            <w:tcW w:w="3078" w:type="dxa"/>
          </w:tcPr>
          <w:p w14:paraId="44D8E0E8"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$15.80</w:t>
            </w:r>
          </w:p>
        </w:tc>
      </w:tr>
      <w:tr w:rsidR="004A0016" w14:paraId="64F4BBFE" w14:textId="77777777" w:rsidTr="001163F6">
        <w:tc>
          <w:tcPr>
            <w:tcW w:w="3312" w:type="dxa"/>
          </w:tcPr>
          <w:p w14:paraId="56CD7034"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3.00 – 3.25%</w:t>
            </w:r>
          </w:p>
        </w:tc>
        <w:tc>
          <w:tcPr>
            <w:tcW w:w="3078" w:type="dxa"/>
          </w:tcPr>
          <w:p w14:paraId="22565482"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$17.15</w:t>
            </w:r>
          </w:p>
        </w:tc>
      </w:tr>
      <w:tr w:rsidR="004A0016" w14:paraId="4DE43242" w14:textId="77777777" w:rsidTr="001163F6">
        <w:tc>
          <w:tcPr>
            <w:tcW w:w="3312" w:type="dxa"/>
          </w:tcPr>
          <w:p w14:paraId="1BDCE507"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3.25 – 3.50%</w:t>
            </w:r>
          </w:p>
        </w:tc>
        <w:tc>
          <w:tcPr>
            <w:tcW w:w="3078" w:type="dxa"/>
          </w:tcPr>
          <w:p w14:paraId="044B0AA6"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$18.50</w:t>
            </w:r>
          </w:p>
        </w:tc>
      </w:tr>
      <w:tr w:rsidR="004A0016" w14:paraId="3E7BCEFA" w14:textId="77777777" w:rsidTr="001163F6">
        <w:tc>
          <w:tcPr>
            <w:tcW w:w="3312" w:type="dxa"/>
          </w:tcPr>
          <w:p w14:paraId="4668F168"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3.50 – 3.75%</w:t>
            </w:r>
          </w:p>
        </w:tc>
        <w:tc>
          <w:tcPr>
            <w:tcW w:w="3078" w:type="dxa"/>
          </w:tcPr>
          <w:p w14:paraId="4301FE0B"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$19.75</w:t>
            </w:r>
          </w:p>
        </w:tc>
      </w:tr>
      <w:tr w:rsidR="004A0016" w14:paraId="6AE78184" w14:textId="77777777" w:rsidTr="001163F6">
        <w:tc>
          <w:tcPr>
            <w:tcW w:w="3312" w:type="dxa"/>
          </w:tcPr>
          <w:p w14:paraId="2EC024A3"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3.75 – 4.00%</w:t>
            </w:r>
          </w:p>
        </w:tc>
        <w:tc>
          <w:tcPr>
            <w:tcW w:w="3078" w:type="dxa"/>
          </w:tcPr>
          <w:p w14:paraId="1C4A5690"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$21.00</w:t>
            </w:r>
          </w:p>
        </w:tc>
      </w:tr>
      <w:tr w:rsidR="004A0016" w14:paraId="4EBBACDC" w14:textId="77777777" w:rsidTr="001163F6">
        <w:tc>
          <w:tcPr>
            <w:tcW w:w="3312" w:type="dxa"/>
          </w:tcPr>
          <w:p w14:paraId="4E608F6D"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4.00 – 4.25%</w:t>
            </w:r>
          </w:p>
        </w:tc>
        <w:tc>
          <w:tcPr>
            <w:tcW w:w="3078" w:type="dxa"/>
          </w:tcPr>
          <w:p w14:paraId="696B26C8"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$22.25</w:t>
            </w:r>
          </w:p>
        </w:tc>
      </w:tr>
      <w:tr w:rsidR="004A0016" w14:paraId="52174789" w14:textId="77777777" w:rsidTr="001163F6">
        <w:tc>
          <w:tcPr>
            <w:tcW w:w="3312" w:type="dxa"/>
          </w:tcPr>
          <w:p w14:paraId="10E34479"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4.25 – 4.50%</w:t>
            </w:r>
          </w:p>
        </w:tc>
        <w:tc>
          <w:tcPr>
            <w:tcW w:w="3078" w:type="dxa"/>
          </w:tcPr>
          <w:p w14:paraId="79C6938B"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$23.50</w:t>
            </w:r>
          </w:p>
        </w:tc>
      </w:tr>
      <w:tr w:rsidR="004A0016" w14:paraId="272E2807" w14:textId="77777777" w:rsidTr="001163F6">
        <w:tc>
          <w:tcPr>
            <w:tcW w:w="3312" w:type="dxa"/>
          </w:tcPr>
          <w:p w14:paraId="62203F57"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4.50 – 4.75%</w:t>
            </w:r>
          </w:p>
        </w:tc>
        <w:tc>
          <w:tcPr>
            <w:tcW w:w="3078" w:type="dxa"/>
          </w:tcPr>
          <w:p w14:paraId="0A2ACE04"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$24.50</w:t>
            </w:r>
          </w:p>
        </w:tc>
      </w:tr>
      <w:tr w:rsidR="004A0016" w14:paraId="77CD2809" w14:textId="77777777" w:rsidTr="001163F6">
        <w:tc>
          <w:tcPr>
            <w:tcW w:w="3312" w:type="dxa"/>
          </w:tcPr>
          <w:p w14:paraId="30C24D57"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4.75 – 5.00%</w:t>
            </w:r>
          </w:p>
        </w:tc>
        <w:tc>
          <w:tcPr>
            <w:tcW w:w="3078" w:type="dxa"/>
          </w:tcPr>
          <w:p w14:paraId="291DD04F"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$25.50</w:t>
            </w:r>
          </w:p>
        </w:tc>
      </w:tr>
      <w:tr w:rsidR="004A0016" w14:paraId="7AE1BBDC" w14:textId="77777777" w:rsidTr="001163F6">
        <w:tc>
          <w:tcPr>
            <w:tcW w:w="3312" w:type="dxa"/>
          </w:tcPr>
          <w:p w14:paraId="1485CA19"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5.00 – 5.25%</w:t>
            </w:r>
          </w:p>
        </w:tc>
        <w:tc>
          <w:tcPr>
            <w:tcW w:w="3078" w:type="dxa"/>
          </w:tcPr>
          <w:p w14:paraId="6BA6D90D"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$26.50</w:t>
            </w:r>
          </w:p>
        </w:tc>
      </w:tr>
      <w:tr w:rsidR="004A0016" w14:paraId="4EAF8E3C" w14:textId="77777777" w:rsidTr="001163F6">
        <w:tc>
          <w:tcPr>
            <w:tcW w:w="3312" w:type="dxa"/>
          </w:tcPr>
          <w:p w14:paraId="40F0D5BE"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5.25 – 5.50%</w:t>
            </w:r>
          </w:p>
        </w:tc>
        <w:tc>
          <w:tcPr>
            <w:tcW w:w="3078" w:type="dxa"/>
          </w:tcPr>
          <w:p w14:paraId="7244A65F"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$27.50</w:t>
            </w:r>
          </w:p>
        </w:tc>
      </w:tr>
      <w:tr w:rsidR="004A0016" w14:paraId="645E767C" w14:textId="77777777" w:rsidTr="001163F6">
        <w:tc>
          <w:tcPr>
            <w:tcW w:w="3312" w:type="dxa"/>
          </w:tcPr>
          <w:p w14:paraId="3FF07A39"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5.50 – 5.75%</w:t>
            </w:r>
          </w:p>
        </w:tc>
        <w:tc>
          <w:tcPr>
            <w:tcW w:w="3078" w:type="dxa"/>
          </w:tcPr>
          <w:p w14:paraId="078DC22A"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$28.50</w:t>
            </w:r>
          </w:p>
        </w:tc>
      </w:tr>
      <w:tr w:rsidR="004A0016" w14:paraId="0A5B1131" w14:textId="77777777" w:rsidTr="001163F6">
        <w:tc>
          <w:tcPr>
            <w:tcW w:w="3312" w:type="dxa"/>
          </w:tcPr>
          <w:p w14:paraId="16F459DA"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5.75 – 6.00%</w:t>
            </w:r>
          </w:p>
        </w:tc>
        <w:tc>
          <w:tcPr>
            <w:tcW w:w="3078" w:type="dxa"/>
          </w:tcPr>
          <w:p w14:paraId="3727BBC4"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$29.00</w:t>
            </w:r>
          </w:p>
        </w:tc>
      </w:tr>
      <w:tr w:rsidR="004A0016" w14:paraId="58630DF8" w14:textId="77777777" w:rsidTr="001163F6">
        <w:tc>
          <w:tcPr>
            <w:tcW w:w="3312" w:type="dxa"/>
          </w:tcPr>
          <w:p w14:paraId="62AF471C"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6.00%+</w:t>
            </w:r>
          </w:p>
        </w:tc>
        <w:tc>
          <w:tcPr>
            <w:tcW w:w="3078" w:type="dxa"/>
          </w:tcPr>
          <w:p w14:paraId="7947F3DB" w14:textId="77777777" w:rsidR="004A0016" w:rsidRPr="00154F02" w:rsidRDefault="00000000" w:rsidP="00F13AB4">
            <w:pPr>
              <w:jc w:val="center"/>
              <w:rPr>
                <w:rFonts w:ascii="Marselis Pro" w:hAnsi="Marselis Pro"/>
                <w:sz w:val="20"/>
                <w:szCs w:val="20"/>
              </w:rPr>
            </w:pPr>
            <w:r w:rsidRPr="00154F02">
              <w:rPr>
                <w:rFonts w:ascii="Marselis Pro" w:hAnsi="Marselis Pro"/>
                <w:sz w:val="20"/>
                <w:szCs w:val="20"/>
              </w:rPr>
              <w:t>$30.25</w:t>
            </w:r>
          </w:p>
        </w:tc>
      </w:tr>
    </w:tbl>
    <w:p w14:paraId="322C5E70" w14:textId="77777777" w:rsidR="00985AF9" w:rsidRDefault="00985AF9" w:rsidP="00F13AB4">
      <w:pPr>
        <w:pStyle w:val="BodyText"/>
        <w:spacing w:after="0" w:line="240" w:lineRule="auto"/>
        <w:jc w:val="center"/>
        <w:rPr>
          <w:rFonts w:ascii="Marselis Pro" w:hAnsi="Marselis Pro"/>
          <w:sz w:val="16"/>
          <w:szCs w:val="16"/>
        </w:rPr>
      </w:pPr>
    </w:p>
    <w:p w14:paraId="37BEAEE7" w14:textId="74DF3620" w:rsidR="00A55E22" w:rsidRPr="00697082" w:rsidRDefault="00985AF9" w:rsidP="00D52B0B">
      <w:pPr>
        <w:pStyle w:val="BodyText"/>
        <w:spacing w:after="0" w:line="240" w:lineRule="auto"/>
        <w:rPr>
          <w:rFonts w:ascii="Marselis Pro" w:hAnsi="Marselis Pro"/>
          <w:sz w:val="16"/>
        </w:rPr>
      </w:pPr>
      <w:r w:rsidRPr="00A55E22">
        <w:rPr>
          <w:rFonts w:ascii="Marselis Pro" w:hAnsi="Marselis Pro"/>
          <w:sz w:val="16"/>
          <w:szCs w:val="16"/>
        </w:rPr>
        <w:t>*</w:t>
      </w:r>
      <w:r w:rsidR="00A55E22" w:rsidRPr="00697082">
        <w:rPr>
          <w:rFonts w:ascii="Marselis Pro" w:hAnsi="Marselis Pro"/>
          <w:sz w:val="16"/>
          <w:szCs w:val="16"/>
        </w:rPr>
        <w:t>The monthly account fee is anticipated to be paid by participating Program Banks.</w:t>
      </w:r>
    </w:p>
    <w:p w14:paraId="294899AE" w14:textId="77777777" w:rsidR="00A55E22" w:rsidRPr="00A55E22" w:rsidRDefault="00A55E22" w:rsidP="00D52B0B">
      <w:pPr>
        <w:pStyle w:val="BodyText"/>
        <w:spacing w:after="0" w:line="240" w:lineRule="auto"/>
        <w:rPr>
          <w:rFonts w:ascii="Marselis Pro" w:hAnsi="Marselis Pro"/>
          <w:sz w:val="16"/>
          <w:szCs w:val="16"/>
        </w:rPr>
      </w:pPr>
      <w:r w:rsidRPr="00A55E22">
        <w:rPr>
          <w:rFonts w:ascii="Marselis Pro" w:hAnsi="Marselis Pro"/>
          <w:sz w:val="16"/>
          <w:szCs w:val="16"/>
        </w:rPr>
        <w:t xml:space="preserve">**Excess Bank. Banks denoted as Excess Banks will accept funds </w:t>
      </w:r>
      <w:proofErr w:type="gramStart"/>
      <w:r w:rsidRPr="00A55E22">
        <w:rPr>
          <w:rFonts w:ascii="Marselis Pro" w:hAnsi="Marselis Pro"/>
          <w:sz w:val="16"/>
          <w:szCs w:val="16"/>
        </w:rPr>
        <w:t>in excess of</w:t>
      </w:r>
      <w:proofErr w:type="gramEnd"/>
      <w:r w:rsidRPr="00A55E22">
        <w:rPr>
          <w:rFonts w:ascii="Marselis Pro" w:hAnsi="Marselis Pro"/>
          <w:sz w:val="16"/>
          <w:szCs w:val="16"/>
        </w:rPr>
        <w:t xml:space="preserve"> the maximum applicable FDIC deposit insurance amount </w:t>
      </w:r>
      <w:proofErr w:type="gramStart"/>
      <w:r w:rsidRPr="00A55E22">
        <w:rPr>
          <w:rFonts w:ascii="Marselis Pro" w:hAnsi="Marselis Pro"/>
          <w:sz w:val="16"/>
          <w:szCs w:val="16"/>
        </w:rPr>
        <w:t>in the event that</w:t>
      </w:r>
      <w:proofErr w:type="gramEnd"/>
      <w:r w:rsidRPr="00A55E22">
        <w:rPr>
          <w:rFonts w:ascii="Marselis Pro" w:hAnsi="Marselis Pro"/>
          <w:sz w:val="16"/>
          <w:szCs w:val="16"/>
        </w:rPr>
        <w:t xml:space="preserve"> funds equal to the maximum deposit amount (as disclosed in the Bank Deposit Sweep Program Disclosure Document) have been allocated through the Program to each bank included on the above Bank List.</w:t>
      </w:r>
    </w:p>
    <w:p w14:paraId="613C5FCE" w14:textId="77777777" w:rsidR="00A55E22" w:rsidRDefault="00A55E22" w:rsidP="00D52B0B">
      <w:pPr>
        <w:pStyle w:val="BodyText"/>
        <w:spacing w:after="0" w:line="240" w:lineRule="auto"/>
        <w:rPr>
          <w:rFonts w:ascii="Marselis Pro" w:hAnsi="Marselis Pro"/>
        </w:rPr>
      </w:pPr>
    </w:p>
    <w:p w14:paraId="6434597F" w14:textId="77777777" w:rsidR="00A55E22" w:rsidRDefault="00A55E22" w:rsidP="00D52B0B">
      <w:pPr>
        <w:pStyle w:val="BodyText"/>
        <w:spacing w:after="0" w:line="240" w:lineRule="auto"/>
        <w:rPr>
          <w:rFonts w:ascii="Marselis Pro" w:hAnsi="Marselis Pro"/>
          <w:color w:val="000000" w:themeColor="text1"/>
          <w:sz w:val="15"/>
          <w:szCs w:val="15"/>
        </w:rPr>
      </w:pPr>
      <w:r w:rsidRPr="009B4BC8">
        <w:rPr>
          <w:rFonts w:ascii="Marselis Pro" w:hAnsi="Marselis Pro"/>
          <w:color w:val="000000" w:themeColor="text1"/>
          <w:sz w:val="15"/>
          <w:szCs w:val="15"/>
        </w:rPr>
        <w:t xml:space="preserve">Securities and advisory services offered through Copper Financial Network, </w:t>
      </w:r>
      <w:proofErr w:type="gramStart"/>
      <w:r w:rsidRPr="009B4BC8">
        <w:rPr>
          <w:rFonts w:ascii="Marselis Pro" w:hAnsi="Marselis Pro"/>
          <w:color w:val="000000" w:themeColor="text1"/>
          <w:sz w:val="15"/>
          <w:szCs w:val="15"/>
        </w:rPr>
        <w:t>LLC (“</w:t>
      </w:r>
      <w:proofErr w:type="gramEnd"/>
      <w:r w:rsidRPr="009B4BC8">
        <w:rPr>
          <w:rFonts w:ascii="Marselis Pro" w:hAnsi="Marselis Pro"/>
          <w:color w:val="000000" w:themeColor="text1"/>
          <w:sz w:val="15"/>
          <w:szCs w:val="15"/>
        </w:rPr>
        <w:t xml:space="preserve">Copper </w:t>
      </w:r>
      <w:proofErr w:type="gramStart"/>
      <w:r w:rsidRPr="009B4BC8">
        <w:rPr>
          <w:rFonts w:ascii="Marselis Pro" w:hAnsi="Marselis Pro"/>
          <w:color w:val="000000" w:themeColor="text1"/>
          <w:sz w:val="15"/>
          <w:szCs w:val="15"/>
        </w:rPr>
        <w:t>Financial”)</w:t>
      </w:r>
      <w:proofErr w:type="gramEnd"/>
      <w:r w:rsidRPr="009B4BC8">
        <w:rPr>
          <w:rFonts w:ascii="Marselis Pro" w:hAnsi="Marselis Pro"/>
          <w:color w:val="000000" w:themeColor="text1"/>
          <w:sz w:val="15"/>
          <w:szCs w:val="15"/>
        </w:rPr>
        <w:t>, Member </w:t>
      </w:r>
      <w:hyperlink r:id="rId7" w:tgtFrame="_new" w:history="1">
        <w:r w:rsidRPr="009B4BC8">
          <w:rPr>
            <w:rStyle w:val="Hyperlink"/>
            <w:rFonts w:ascii="Marselis Pro" w:hAnsi="Marselis Pro"/>
            <w:b/>
            <w:bCs/>
            <w:color w:val="000000" w:themeColor="text1"/>
            <w:sz w:val="15"/>
            <w:szCs w:val="15"/>
            <w:u w:val="none"/>
          </w:rPr>
          <w:t>FINRA</w:t>
        </w:r>
      </w:hyperlink>
      <w:r w:rsidRPr="009B4BC8">
        <w:rPr>
          <w:rFonts w:ascii="Marselis Pro" w:hAnsi="Marselis Pro"/>
          <w:color w:val="000000" w:themeColor="text1"/>
          <w:sz w:val="15"/>
          <w:szCs w:val="15"/>
        </w:rPr>
        <w:t>/</w:t>
      </w:r>
      <w:hyperlink r:id="rId8" w:tgtFrame="_new" w:history="1">
        <w:r w:rsidRPr="009B4BC8">
          <w:rPr>
            <w:rStyle w:val="Hyperlink"/>
            <w:rFonts w:ascii="Marselis Pro" w:hAnsi="Marselis Pro"/>
            <w:b/>
            <w:bCs/>
            <w:color w:val="000000" w:themeColor="text1"/>
            <w:sz w:val="15"/>
            <w:szCs w:val="15"/>
            <w:u w:val="none"/>
          </w:rPr>
          <w:t>SIPC</w:t>
        </w:r>
      </w:hyperlink>
      <w:r w:rsidRPr="009B4BC8">
        <w:rPr>
          <w:rFonts w:ascii="Marselis Pro" w:hAnsi="Marselis Pro"/>
          <w:color w:val="000000" w:themeColor="text1"/>
          <w:sz w:val="15"/>
          <w:szCs w:val="15"/>
        </w:rPr>
        <w:t xml:space="preserve">. Copper Financial is </w:t>
      </w:r>
      <w:proofErr w:type="gramStart"/>
      <w:r w:rsidRPr="009B4BC8">
        <w:rPr>
          <w:rFonts w:ascii="Marselis Pro" w:hAnsi="Marselis Pro"/>
          <w:color w:val="000000" w:themeColor="text1"/>
          <w:sz w:val="15"/>
          <w:szCs w:val="15"/>
        </w:rPr>
        <w:t>a SEC</w:t>
      </w:r>
      <w:proofErr w:type="gramEnd"/>
      <w:r w:rsidRPr="009B4BC8">
        <w:rPr>
          <w:rFonts w:ascii="Marselis Pro" w:hAnsi="Marselis Pro"/>
          <w:color w:val="000000" w:themeColor="text1"/>
          <w:sz w:val="15"/>
          <w:szCs w:val="15"/>
        </w:rPr>
        <w:t xml:space="preserve"> registered investment adviser. Products offered through Copper Financial: </w:t>
      </w:r>
      <w:r w:rsidRPr="009B4BC8">
        <w:rPr>
          <w:rFonts w:ascii="Marselis Pro" w:hAnsi="Marselis Pro"/>
          <w:b/>
          <w:bCs/>
          <w:color w:val="000000" w:themeColor="text1"/>
          <w:sz w:val="15"/>
          <w:szCs w:val="15"/>
        </w:rPr>
        <w:t>are not NCUA/NCUSIF or otherwise federally insured, are not guarantees or obligations of the credit union, and may involve investment risk including possible loss of principal.</w:t>
      </w:r>
      <w:r w:rsidRPr="009B4BC8">
        <w:rPr>
          <w:rFonts w:ascii="Marselis Pro" w:hAnsi="Marselis Pro"/>
          <w:color w:val="000000" w:themeColor="text1"/>
          <w:sz w:val="15"/>
          <w:szCs w:val="15"/>
        </w:rPr>
        <w:t xml:space="preserve"> Copper Financial is a </w:t>
      </w:r>
      <w:proofErr w:type="gramStart"/>
      <w:r w:rsidRPr="009B4BC8">
        <w:rPr>
          <w:rFonts w:ascii="Marselis Pro" w:hAnsi="Marselis Pro"/>
          <w:color w:val="000000" w:themeColor="text1"/>
          <w:sz w:val="15"/>
          <w:szCs w:val="15"/>
        </w:rPr>
        <w:t>wholly-owned</w:t>
      </w:r>
      <w:proofErr w:type="gramEnd"/>
      <w:r w:rsidRPr="009B4BC8">
        <w:rPr>
          <w:rFonts w:ascii="Marselis Pro" w:hAnsi="Marselis Pro"/>
          <w:color w:val="000000" w:themeColor="text1"/>
          <w:sz w:val="15"/>
          <w:szCs w:val="15"/>
        </w:rPr>
        <w:t xml:space="preserve"> subsidiary of </w:t>
      </w:r>
      <w:proofErr w:type="spellStart"/>
      <w:r w:rsidRPr="009B4BC8">
        <w:rPr>
          <w:rFonts w:ascii="Marselis Pro" w:hAnsi="Marselis Pro"/>
          <w:color w:val="000000" w:themeColor="text1"/>
          <w:sz w:val="15"/>
          <w:szCs w:val="15"/>
        </w:rPr>
        <w:t>CommunityAmerica</w:t>
      </w:r>
      <w:proofErr w:type="spellEnd"/>
      <w:r w:rsidRPr="009B4BC8">
        <w:rPr>
          <w:rFonts w:ascii="Marselis Pro" w:hAnsi="Marselis Pro"/>
          <w:color w:val="000000" w:themeColor="text1"/>
          <w:sz w:val="15"/>
          <w:szCs w:val="15"/>
        </w:rPr>
        <w:t xml:space="preserve"> Federal Credit Union.</w:t>
      </w:r>
    </w:p>
    <w:p w14:paraId="475A3A0C" w14:textId="77777777" w:rsidR="00A55E22" w:rsidRDefault="00A55E22" w:rsidP="00D52B0B">
      <w:pPr>
        <w:pStyle w:val="BodyText"/>
        <w:spacing w:after="0" w:line="240" w:lineRule="auto"/>
        <w:rPr>
          <w:rFonts w:ascii="Marselis Pro" w:hAnsi="Marselis Pro"/>
        </w:rPr>
      </w:pPr>
    </w:p>
    <w:p w14:paraId="6B1BD535" w14:textId="51C630A0" w:rsidR="00957BF6" w:rsidRPr="00A942DA" w:rsidRDefault="00A55E22" w:rsidP="00D52B0B">
      <w:pPr>
        <w:pStyle w:val="Footer"/>
        <w:tabs>
          <w:tab w:val="clear" w:pos="4680"/>
          <w:tab w:val="center" w:pos="9360"/>
        </w:tabs>
        <w:rPr>
          <w:rFonts w:ascii="Marselis Pro" w:hAnsi="Marselis Pro"/>
          <w:sz w:val="15"/>
          <w:szCs w:val="15"/>
        </w:rPr>
      </w:pPr>
      <w:r w:rsidRPr="009B4BC8">
        <w:rPr>
          <w:rFonts w:ascii="Marselis Pro" w:hAnsi="Marselis Pro"/>
          <w:sz w:val="15"/>
          <w:szCs w:val="15"/>
        </w:rPr>
        <w:t xml:space="preserve">Securities and investment advisory services are offered through the firms: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Wealth, Inc. and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Institutions, Inc., broker-dealers, registered investment advisers, and members of FINRA and SIPC. Securities are offered through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Services, Inc. and Ladenburg Thalmann &amp; Co., </w:t>
      </w:r>
      <w:proofErr w:type="gramStart"/>
      <w:r w:rsidRPr="009B4BC8">
        <w:rPr>
          <w:rFonts w:ascii="Marselis Pro" w:hAnsi="Marselis Pro"/>
          <w:sz w:val="15"/>
          <w:szCs w:val="15"/>
        </w:rPr>
        <w:t>broker-dealers</w:t>
      </w:r>
      <w:proofErr w:type="gramEnd"/>
      <w:r w:rsidRPr="009B4BC8">
        <w:rPr>
          <w:rFonts w:ascii="Marselis Pro" w:hAnsi="Marselis Pro"/>
          <w:sz w:val="15"/>
          <w:szCs w:val="15"/>
        </w:rPr>
        <w:t xml:space="preserve"> and members of FINRA and SIPC. Advisory services are offered through Ladenburg Thalmann Asset Management, Inc.,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Advisory </w:t>
      </w:r>
      <w:proofErr w:type="gramStart"/>
      <w:r w:rsidRPr="009B4BC8">
        <w:rPr>
          <w:rFonts w:ascii="Marselis Pro" w:hAnsi="Marselis Pro"/>
          <w:sz w:val="15"/>
          <w:szCs w:val="15"/>
        </w:rPr>
        <w:t>Services,</w:t>
      </w:r>
      <w:proofErr w:type="gramEnd"/>
      <w:r w:rsidRPr="009B4BC8">
        <w:rPr>
          <w:rFonts w:ascii="Marselis Pro" w:hAnsi="Marselis Pro"/>
          <w:sz w:val="15"/>
          <w:szCs w:val="15"/>
        </w:rPr>
        <w:t xml:space="preserve"> LLC. and CW Advisors, LLC., registered investment advisers. Advisory programs offered by </w:t>
      </w:r>
      <w:proofErr w:type="spellStart"/>
      <w:r w:rsidRPr="009B4BC8">
        <w:rPr>
          <w:rFonts w:ascii="Marselis Pro" w:hAnsi="Marselis Pro"/>
          <w:sz w:val="15"/>
          <w:szCs w:val="15"/>
        </w:rPr>
        <w:t>Osaic</w:t>
      </w:r>
      <w:proofErr w:type="spellEnd"/>
      <w:r w:rsidRPr="009B4BC8">
        <w:rPr>
          <w:rFonts w:ascii="Marselis Pro" w:hAnsi="Marselis Pro"/>
          <w:sz w:val="15"/>
          <w:szCs w:val="15"/>
        </w:rPr>
        <w:t xml:space="preserve"> Wealth, Inc. are sponsored by VISION2020 Wealth Management Corp., an affiliated registered investment adviser.</w:t>
      </w:r>
      <w:r>
        <w:rPr>
          <w:rFonts w:ascii="Marselis Pro" w:hAnsi="Marselis Pro"/>
          <w:color w:val="000000" w:themeColor="text1"/>
          <w:sz w:val="15"/>
          <w:szCs w:val="15"/>
        </w:rPr>
        <w:t xml:space="preserve">                                                                                                                               </w:t>
      </w:r>
      <w:r w:rsidRPr="00FE7574">
        <w:rPr>
          <w:rFonts w:ascii="Marselis Pro" w:hAnsi="Marselis Pro"/>
          <w:sz w:val="15"/>
          <w:szCs w:val="15"/>
        </w:rPr>
        <w:t xml:space="preserve">                                                                                                                                        © </w:t>
      </w:r>
      <w:proofErr w:type="spellStart"/>
      <w:r w:rsidRPr="00FE7574">
        <w:rPr>
          <w:rFonts w:ascii="Marselis Pro" w:hAnsi="Marselis Pro"/>
          <w:sz w:val="15"/>
          <w:szCs w:val="15"/>
        </w:rPr>
        <w:t>Osaic</w:t>
      </w:r>
      <w:proofErr w:type="spellEnd"/>
      <w:r w:rsidRPr="00FE7574">
        <w:rPr>
          <w:rFonts w:ascii="Marselis Pro" w:hAnsi="Marselis Pro"/>
          <w:sz w:val="15"/>
          <w:szCs w:val="15"/>
        </w:rPr>
        <w:t xml:space="preserve">, Inc.  •  osaic.com                                                                                                                                                          </w:t>
      </w:r>
      <w:r>
        <w:rPr>
          <w:rFonts w:ascii="Marselis Pro" w:hAnsi="Marselis Pro"/>
          <w:sz w:val="15"/>
          <w:szCs w:val="15"/>
        </w:rPr>
        <w:t xml:space="preserve">        </w:t>
      </w:r>
      <w:r w:rsidRPr="00FE7574">
        <w:rPr>
          <w:rFonts w:ascii="Marselis Pro" w:hAnsi="Marselis Pro"/>
          <w:sz w:val="15"/>
          <w:szCs w:val="15"/>
        </w:rPr>
        <w:t xml:space="preserve"> </w:t>
      </w:r>
      <w:r>
        <w:rPr>
          <w:rFonts w:ascii="Marselis Pro" w:hAnsi="Marselis Pro"/>
          <w:sz w:val="15"/>
          <w:szCs w:val="15"/>
        </w:rPr>
        <w:t xml:space="preserve">                 05/26</w:t>
      </w:r>
      <w:r w:rsidRPr="00FE7574">
        <w:rPr>
          <w:rFonts w:ascii="Marselis Pro" w:hAnsi="Marselis Pro"/>
          <w:sz w:val="15"/>
          <w:szCs w:val="15"/>
        </w:rPr>
        <w:t xml:space="preserve"> 585246</w:t>
      </w:r>
      <w:r>
        <w:rPr>
          <w:rFonts w:ascii="Marselis Pro" w:hAnsi="Marselis Pro"/>
          <w:sz w:val="15"/>
          <w:szCs w:val="15"/>
        </w:rPr>
        <w:t>5</w:t>
      </w:r>
    </w:p>
    <w:sectPr w:rsidR="00957BF6" w:rsidRPr="00A942D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arselis Pro">
    <w:altName w:val="Calibri"/>
    <w:panose1 w:val="00000000000000000000"/>
    <w:charset w:val="00"/>
    <w:family w:val="modern"/>
    <w:notTrueType/>
    <w:pitch w:val="variable"/>
    <w:sig w:usb0="A00000FF" w:usb1="4000A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0957108">
    <w:abstractNumId w:val="8"/>
  </w:num>
  <w:num w:numId="2" w16cid:durableId="1503088566">
    <w:abstractNumId w:val="6"/>
  </w:num>
  <w:num w:numId="3" w16cid:durableId="299188496">
    <w:abstractNumId w:val="5"/>
  </w:num>
  <w:num w:numId="4" w16cid:durableId="1354113730">
    <w:abstractNumId w:val="4"/>
  </w:num>
  <w:num w:numId="5" w16cid:durableId="940455472">
    <w:abstractNumId w:val="7"/>
  </w:num>
  <w:num w:numId="6" w16cid:durableId="354309167">
    <w:abstractNumId w:val="3"/>
  </w:num>
  <w:num w:numId="7" w16cid:durableId="1624074279">
    <w:abstractNumId w:val="2"/>
  </w:num>
  <w:num w:numId="8" w16cid:durableId="414521824">
    <w:abstractNumId w:val="1"/>
  </w:num>
  <w:num w:numId="9" w16cid:durableId="1223369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63F6"/>
    <w:rsid w:val="0015074B"/>
    <w:rsid w:val="00154F02"/>
    <w:rsid w:val="00195C3D"/>
    <w:rsid w:val="002279CD"/>
    <w:rsid w:val="0029639D"/>
    <w:rsid w:val="00326F90"/>
    <w:rsid w:val="004A0016"/>
    <w:rsid w:val="005803E0"/>
    <w:rsid w:val="00804EDF"/>
    <w:rsid w:val="00837504"/>
    <w:rsid w:val="00957BF6"/>
    <w:rsid w:val="00985AF9"/>
    <w:rsid w:val="009B0F5B"/>
    <w:rsid w:val="00A55E22"/>
    <w:rsid w:val="00A942DA"/>
    <w:rsid w:val="00AA1D8D"/>
    <w:rsid w:val="00B0467D"/>
    <w:rsid w:val="00B47730"/>
    <w:rsid w:val="00BC247E"/>
    <w:rsid w:val="00BC4798"/>
    <w:rsid w:val="00C70D04"/>
    <w:rsid w:val="00CB0664"/>
    <w:rsid w:val="00D52B0B"/>
    <w:rsid w:val="00F13AB4"/>
    <w:rsid w:val="00FB46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7B1E27"/>
  <w14:defaultImageDpi w14:val="300"/>
  <w15:docId w15:val="{2C951979-EFCC-4695-B777-E6786F87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55E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pc.org/" TargetMode="External"/><Relationship Id="rId3" Type="http://schemas.openxmlformats.org/officeDocument/2006/relationships/styles" Target="styles.xml"/><Relationship Id="rId7" Type="http://schemas.openxmlformats.org/officeDocument/2006/relationships/hyperlink" Target="https://www.finra.org/abou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441</Words>
  <Characters>2435</Characters>
  <Application>Microsoft Office Word</Application>
  <DocSecurity>0</DocSecurity>
  <Lines>105</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Abby Fellows</cp:lastModifiedBy>
  <cp:revision>18</cp:revision>
  <dcterms:created xsi:type="dcterms:W3CDTF">2026-06-23T20:41:00Z</dcterms:created>
  <dcterms:modified xsi:type="dcterms:W3CDTF">2026-06-23T20:53:00Z</dcterms:modified>
  <cp:category/>
</cp:coreProperties>
</file>